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tbl>
      <w:tblPr>
        <w:tblW w:w="9040" w:type="dxa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040"/>
      </w:tblGrid>
      <w:tr w:rsidR="00644304">
        <w:trPr>
          <w:trHeight w:val="4284"/>
        </w:trPr>
        <w:tc>
          <w:tcPr>
            <w:tcW w:w="9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</w:tcPr>
          <w:p w:rsidR="00644304" w:rsidRDefault="00644304">
            <w:pPr>
              <w:snapToGrid w:val="0"/>
              <w:rPr>
                <w:rFonts w:hint="eastAsia"/>
                <w:sz w:val="28"/>
              </w:rPr>
            </w:pPr>
          </w:p>
          <w:p w:rsidR="00644304" w:rsidRDefault="00644304">
            <w:pPr>
              <w:pStyle w:val="Nagwek2"/>
              <w:numPr>
                <w:ilvl w:val="1"/>
                <w:numId w:val="1"/>
              </w:numPr>
              <w:rPr>
                <w:rFonts w:hint="eastAsia"/>
                <w:sz w:val="28"/>
              </w:rPr>
            </w:pPr>
          </w:p>
          <w:p w:rsidR="00644304" w:rsidRDefault="00394146">
            <w:pPr>
              <w:rPr>
                <w:rFonts w:hint="eastAsia"/>
              </w:rPr>
            </w:pPr>
            <w:r>
              <w:t>§</w:t>
            </w:r>
            <w:r>
              <w:rPr>
                <w:noProof/>
                <w:lang w:eastAsia="ja-JP" w:bidi="ar-SA"/>
              </w:rPr>
              <mc:AlternateContent>
                <mc:Choice Requires="wps">
                  <w:drawing>
                    <wp:inline distT="0" distB="0" distL="0" distR="0">
                      <wp:extent cx="5639435" cy="655320"/>
                      <wp:effectExtent l="0" t="0" r="0" b="0"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8680" cy="65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8891" w:type="dxa"/>
                                    <w:tblInd w:w="13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CellMar>
                                      <w:left w:w="6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891"/>
                                  </w:tblGrid>
                                  <w:tr w:rsidR="00644304">
                                    <w:trPr>
                                      <w:trHeight w:val="900"/>
                                    </w:trPr>
                                    <w:tc>
                                      <w:tcPr>
                                        <w:tcW w:w="889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0000"/>
                                      </w:tcPr>
                                      <w:p w:rsidR="00644304" w:rsidRDefault="00394146">
                                        <w:pPr>
                                          <w:pStyle w:val="Tekstpodstawowy"/>
                                          <w:snapToGrid w:val="0"/>
                                          <w:ind w:left="1560"/>
                                          <w:rPr>
                                            <w:rFonts w:hint="eastAsia"/>
                                          </w:rPr>
                                        </w:pPr>
                                        <w:r>
                                          <w:t>INSTRUKCJA BEZPIECZEŃSTWA POŻAROWEGO</w:t>
                                        </w:r>
                                      </w:p>
                                    </w:tc>
                                  </w:tr>
                                </w:tbl>
                                <w:p w:rsidR="00644304" w:rsidRDefault="00394146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lIns="720" tIns="720" rIns="720" bIns="72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Prostokąt 1" o:spid="_x0000_s1026" style="width:444.05pt;height:5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" stroked="f">
                      <v:textbox inset=".02mm,.02mm,.02mm,.02mm">
                        <w:txbxContent>
                          <w:tbl>
                            <w:tblPr>
                              <w:tblW w:w="8891" w:type="dxa"/>
                              <w:tblInd w:w="13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6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891"/>
                            </w:tblGrid>
                            <w:tr w:rsidR="00644304">
                              <w:trPr>
                                <w:trHeight w:val="900"/>
                              </w:trPr>
                              <w:tc>
                                <w:tcPr>
                                  <w:tcW w:w="88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</w:tcPr>
                                <w:p w:rsidR="00644304" w:rsidRDefault="00394146">
                                  <w:pPr>
                                    <w:pStyle w:val="Tekstpodstawowy"/>
                                    <w:snapToGrid w:val="0"/>
                                    <w:ind w:left="156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t>INSTRUKCJA BEZPIECZEŃSTWA POŻAROWEGO</w:t>
                                  </w:r>
                                </w:p>
                              </w:tc>
                            </w:tr>
                          </w:tbl>
                          <w:p w:rsidR="00644304" w:rsidRDefault="0039414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644304" w:rsidRDefault="00644304">
            <w:pPr>
              <w:pStyle w:val="Nagwek2"/>
              <w:numPr>
                <w:ilvl w:val="1"/>
                <w:numId w:val="1"/>
              </w:numPr>
              <w:rPr>
                <w:rFonts w:hint="eastAsia"/>
                <w:b w:val="0"/>
                <w:bCs w:val="0"/>
              </w:rPr>
            </w:pPr>
          </w:p>
          <w:p w:rsidR="00644304" w:rsidRDefault="00394146">
            <w:pPr>
              <w:pStyle w:val="Nagwek2"/>
              <w:numPr>
                <w:ilvl w:val="1"/>
                <w:numId w:val="1"/>
              </w:numPr>
              <w:rPr>
                <w:rFonts w:hint="eastAsia"/>
              </w:rPr>
            </w:pPr>
            <w:proofErr w:type="gramStart"/>
            <w:r>
              <w:t>dla</w:t>
            </w:r>
            <w:proofErr w:type="gramEnd"/>
            <w:r>
              <w:t xml:space="preserve"> </w:t>
            </w:r>
          </w:p>
          <w:p w:rsidR="00644304" w:rsidRDefault="00394146">
            <w:pPr>
              <w:pStyle w:val="Nagwek2"/>
              <w:numPr>
                <w:ilvl w:val="1"/>
                <w:numId w:val="1"/>
              </w:numPr>
              <w:rPr>
                <w:rFonts w:hint="eastAsia"/>
              </w:rPr>
            </w:pPr>
            <w:r>
              <w:rPr>
                <w:szCs w:val="44"/>
              </w:rPr>
              <w:t>PAŁACU MUZYKI i</w:t>
            </w:r>
            <w:r>
              <w:rPr>
                <w:sz w:val="36"/>
                <w:szCs w:val="36"/>
              </w:rPr>
              <w:t xml:space="preserve"> </w:t>
            </w:r>
            <w:r>
              <w:t xml:space="preserve">SZTUKI </w:t>
            </w:r>
            <w:r>
              <w:br/>
              <w:t>w SZCZECINIE</w:t>
            </w:r>
          </w:p>
          <w:p w:rsidR="00644304" w:rsidRDefault="00394146">
            <w:pPr>
              <w:rPr>
                <w:rFonts w:hint="eastAsia"/>
              </w:rPr>
            </w:pPr>
            <w:r>
              <w:t xml:space="preserve">               </w:t>
            </w:r>
          </w:p>
          <w:p w:rsidR="00644304" w:rsidRDefault="00644304">
            <w:pPr>
              <w:pStyle w:val="Nagwek1"/>
              <w:numPr>
                <w:ilvl w:val="0"/>
                <w:numId w:val="1"/>
              </w:numPr>
              <w:rPr>
                <w:rFonts w:hint="eastAsia"/>
                <w:color w:val="FFFFFF"/>
                <w:sz w:val="32"/>
              </w:rPr>
            </w:pPr>
          </w:p>
          <w:p w:rsidR="00644304" w:rsidRDefault="00394146">
            <w:pPr>
              <w:pStyle w:val="Nagwek1"/>
              <w:numPr>
                <w:ilvl w:val="0"/>
                <w:numId w:val="1"/>
              </w:numPr>
              <w:rPr>
                <w:rFonts w:hint="eastAsia"/>
                <w:color w:val="FFFFFF"/>
                <w:sz w:val="32"/>
              </w:rPr>
            </w:pPr>
            <w:r>
              <w:rPr>
                <w:color w:val="FFFFFF"/>
                <w:sz w:val="32"/>
              </w:rPr>
              <w:t>SZCZECIN</w:t>
            </w:r>
          </w:p>
          <w:p w:rsidR="00644304" w:rsidRDefault="00394146">
            <w:pPr>
              <w:jc w:val="center"/>
              <w:rPr>
                <w:rFonts w:hint="eastAsia"/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Aleja Niepodległości 40</w:t>
            </w:r>
          </w:p>
          <w:p w:rsidR="00644304" w:rsidRDefault="00644304">
            <w:pPr>
              <w:jc w:val="center"/>
              <w:rPr>
                <w:rFonts w:hint="eastAsia"/>
                <w:color w:val="FFFF00"/>
                <w:sz w:val="28"/>
                <w:szCs w:val="28"/>
              </w:rPr>
            </w:pPr>
          </w:p>
        </w:tc>
      </w:tr>
    </w:tbl>
    <w:p w:rsidR="00644304" w:rsidRDefault="00644304">
      <w:pPr>
        <w:rPr>
          <w:rFonts w:hint="eastAsia"/>
        </w:rPr>
      </w:pPr>
    </w:p>
    <w:p w:rsidR="00644304" w:rsidRDefault="00394146">
      <w:pPr>
        <w:jc w:val="center"/>
        <w:rPr>
          <w:rFonts w:hint="eastAsia"/>
        </w:rPr>
      </w:pPr>
      <w:r>
        <w:t xml:space="preserve">              WŁAŚCICIEL: </w:t>
      </w:r>
      <w:r>
        <w:rPr>
          <w:b/>
          <w:bCs/>
        </w:rPr>
        <w:t>Akademia Sztuki w Szczecinie</w:t>
      </w:r>
    </w:p>
    <w:p w:rsidR="00644304" w:rsidRDefault="00394146">
      <w:pPr>
        <w:jc w:val="center"/>
        <w:rPr>
          <w:rFonts w:hint="eastAsia"/>
          <w:b/>
          <w:bCs/>
        </w:rPr>
      </w:pPr>
      <w:r>
        <w:rPr>
          <w:b/>
          <w:bCs/>
        </w:rPr>
        <w:t>Szczecin, plac Orła Białego 2</w:t>
      </w:r>
    </w:p>
    <w:p w:rsidR="00644304" w:rsidRDefault="00644304">
      <w:pPr>
        <w:jc w:val="center"/>
        <w:rPr>
          <w:rFonts w:hint="eastAsia"/>
          <w:b/>
          <w:bCs/>
        </w:rPr>
      </w:pPr>
    </w:p>
    <w:p w:rsidR="00644304" w:rsidRDefault="00394146">
      <w:pPr>
        <w:jc w:val="center"/>
        <w:rPr>
          <w:rFonts w:hint="eastAsia"/>
        </w:rPr>
      </w:pPr>
      <w:r>
        <w:t xml:space="preserve"> </w:t>
      </w:r>
    </w:p>
    <w:p w:rsidR="00644304" w:rsidRDefault="00644304">
      <w:pPr>
        <w:jc w:val="center"/>
        <w:rPr>
          <w:rFonts w:hint="eastAsia"/>
          <w:b/>
          <w:bCs/>
          <w:color w:val="FF0000"/>
          <w:sz w:val="28"/>
        </w:rPr>
      </w:pPr>
    </w:p>
    <w:p w:rsidR="00644304" w:rsidRDefault="00644304">
      <w:pPr>
        <w:rPr>
          <w:rFonts w:hint="eastAsia"/>
          <w:b/>
          <w:bCs/>
          <w:color w:val="33CCCC"/>
          <w:sz w:val="28"/>
        </w:rPr>
      </w:pPr>
    </w:p>
    <w:p w:rsidR="00644304" w:rsidRDefault="00394146">
      <w:pPr>
        <w:rPr>
          <w:rFonts w:hint="eastAsia"/>
          <w:color w:val="33CCCC"/>
          <w:sz w:val="28"/>
        </w:rPr>
      </w:pPr>
      <w:r>
        <w:rPr>
          <w:color w:val="33CCCC"/>
          <w:sz w:val="28"/>
        </w:rPr>
        <w:t xml:space="preserve">                                   </w:t>
      </w:r>
    </w:p>
    <w:p w:rsidR="00644304" w:rsidRDefault="00644304">
      <w:pPr>
        <w:rPr>
          <w:rFonts w:hint="eastAsia"/>
          <w:color w:val="33CCCC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394146">
      <w:pPr>
        <w:rPr>
          <w:rFonts w:hint="eastAsia"/>
        </w:rPr>
      </w:pPr>
      <w:r>
        <w:rPr>
          <w:sz w:val="28"/>
        </w:rPr>
        <w:t xml:space="preserve">             </w:t>
      </w:r>
      <w:proofErr w:type="gramStart"/>
      <w:r>
        <w:rPr>
          <w:i/>
          <w:iCs/>
          <w:sz w:val="28"/>
        </w:rPr>
        <w:t xml:space="preserve">Opracował:                                                 </w:t>
      </w:r>
      <w:proofErr w:type="gramEnd"/>
      <w:r>
        <w:rPr>
          <w:i/>
          <w:iCs/>
          <w:sz w:val="28"/>
        </w:rPr>
        <w:t xml:space="preserve">            Zatwierdzam:</w:t>
      </w:r>
    </w:p>
    <w:p w:rsidR="00644304" w:rsidRDefault="00644304">
      <w:pPr>
        <w:rPr>
          <w:rFonts w:hint="eastAsia"/>
          <w:i/>
          <w:iCs/>
          <w:sz w:val="28"/>
        </w:rPr>
      </w:pPr>
    </w:p>
    <w:p w:rsidR="00644304" w:rsidRDefault="00394146">
      <w:pPr>
        <w:rPr>
          <w:rFonts w:hint="eastAsia"/>
          <w:sz w:val="28"/>
        </w:rPr>
      </w:pPr>
      <w:r>
        <w:rPr>
          <w:sz w:val="28"/>
        </w:rPr>
        <w:t xml:space="preserve">  inż. Adam </w:t>
      </w:r>
      <w:proofErr w:type="gramStart"/>
      <w:r>
        <w:rPr>
          <w:sz w:val="28"/>
        </w:rPr>
        <w:t>Królak</w:t>
      </w:r>
      <w:r>
        <w:rPr>
          <w:sz w:val="28"/>
        </w:rPr>
        <w:br/>
        <w:t xml:space="preserve">  (kpt</w:t>
      </w:r>
      <w:proofErr w:type="gramEnd"/>
      <w:r>
        <w:rPr>
          <w:sz w:val="28"/>
        </w:rPr>
        <w:t xml:space="preserve">. </w:t>
      </w:r>
      <w:proofErr w:type="spellStart"/>
      <w:r>
        <w:rPr>
          <w:sz w:val="28"/>
        </w:rPr>
        <w:t>poż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w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s.s</w:t>
      </w:r>
      <w:proofErr w:type="spellEnd"/>
      <w:r>
        <w:rPr>
          <w:sz w:val="28"/>
        </w:rPr>
        <w:t>.)</w:t>
      </w:r>
    </w:p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644304">
      <w:pPr>
        <w:rPr>
          <w:rFonts w:hint="eastAsia"/>
          <w:sz w:val="28"/>
        </w:rPr>
      </w:pPr>
    </w:p>
    <w:p w:rsidR="00644304" w:rsidRDefault="00394146">
      <w:pPr>
        <w:jc w:val="center"/>
        <w:rPr>
          <w:rFonts w:hint="eastAsia"/>
          <w:sz w:val="28"/>
        </w:rPr>
      </w:pPr>
      <w:r>
        <w:rPr>
          <w:sz w:val="28"/>
        </w:rPr>
        <w:t xml:space="preserve">Szczecin, dnia 28. 06. 2017 </w:t>
      </w:r>
      <w:proofErr w:type="gramStart"/>
      <w:r>
        <w:rPr>
          <w:sz w:val="28"/>
        </w:rPr>
        <w:t>roku</w:t>
      </w:r>
      <w:proofErr w:type="gramEnd"/>
    </w:p>
    <w:p w:rsidR="00644304" w:rsidRDefault="00394146">
      <w:pPr>
        <w:jc w:val="center"/>
        <w:rPr>
          <w:rFonts w:hint="eastAsia"/>
          <w:sz w:val="28"/>
        </w:rPr>
      </w:pPr>
      <w:r>
        <w:rPr>
          <w:sz w:val="28"/>
        </w:rPr>
        <w:t xml:space="preserve">Szczecin, dnia 21. 11. 2019 </w:t>
      </w:r>
      <w:proofErr w:type="gramStart"/>
      <w:r>
        <w:rPr>
          <w:sz w:val="28"/>
        </w:rPr>
        <w:t>roku</w:t>
      </w:r>
      <w:proofErr w:type="gramEnd"/>
      <w:r>
        <w:rPr>
          <w:sz w:val="28"/>
        </w:rPr>
        <w:t xml:space="preserve"> </w:t>
      </w: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644304">
      <w:pPr>
        <w:rPr>
          <w:rFonts w:ascii="Calibri" w:hAnsi="Calibri"/>
          <w:b/>
          <w:sz w:val="28"/>
          <w:szCs w:val="28"/>
        </w:rPr>
      </w:pPr>
    </w:p>
    <w:p w:rsidR="00644304" w:rsidRDefault="00394146">
      <w:pPr>
        <w:jc w:val="center"/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SPIS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Wstęp                                                  </w:t>
      </w:r>
      <w:proofErr w:type="gramEnd"/>
      <w:r>
        <w:rPr>
          <w:sz w:val="28"/>
          <w:szCs w:val="28"/>
        </w:rPr>
        <w:t xml:space="preserve">                                                             3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 xml:space="preserve">2. Warunki budowlane i </w:t>
      </w:r>
      <w:proofErr w:type="gramStart"/>
      <w:r>
        <w:rPr>
          <w:sz w:val="28"/>
          <w:szCs w:val="28"/>
        </w:rPr>
        <w:t xml:space="preserve">instalacyjne                                                  </w:t>
      </w:r>
      <w:proofErr w:type="gramEnd"/>
      <w:r>
        <w:rPr>
          <w:sz w:val="28"/>
          <w:szCs w:val="28"/>
        </w:rPr>
        <w:t xml:space="preserve">                 4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 xml:space="preserve">3. Zabezpieczenia przeciwpożarowe </w:t>
      </w:r>
      <w:proofErr w:type="gramStart"/>
      <w:r>
        <w:rPr>
          <w:sz w:val="28"/>
          <w:szCs w:val="28"/>
        </w:rPr>
        <w:t xml:space="preserve">specjalne                                                  </w:t>
      </w:r>
      <w:proofErr w:type="gramEnd"/>
      <w:r>
        <w:rPr>
          <w:sz w:val="28"/>
          <w:szCs w:val="28"/>
        </w:rPr>
        <w:t xml:space="preserve"> 6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 xml:space="preserve">4. Źródła pożaru i drogi jego </w:t>
      </w:r>
      <w:proofErr w:type="gramStart"/>
      <w:r>
        <w:rPr>
          <w:sz w:val="28"/>
          <w:szCs w:val="28"/>
        </w:rPr>
        <w:t>rozprzestrzeniania                                                 8</w:t>
      </w:r>
      <w:proofErr w:type="gramEnd"/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>5. Zabezpieczenie prac pożarowo niebezpiecznych                                            8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>6. Zasady zapobiegania możliwościom powstania pożaru                                  8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>7. Postępowanie na wypadek pożaru i innego zagrożenia                                   9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 xml:space="preserve">8. Ewakuacja </w:t>
      </w:r>
      <w:proofErr w:type="gramStart"/>
      <w:r>
        <w:rPr>
          <w:sz w:val="28"/>
          <w:szCs w:val="28"/>
        </w:rPr>
        <w:t xml:space="preserve">ludzi                                                  </w:t>
      </w:r>
      <w:proofErr w:type="gramEnd"/>
      <w:r>
        <w:rPr>
          <w:sz w:val="28"/>
          <w:szCs w:val="28"/>
        </w:rPr>
        <w:t xml:space="preserve">                                             9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>9. Organizacja szkolenia ppoż. użytkowników budynku                                   11</w:t>
      </w:r>
    </w:p>
    <w:p w:rsidR="00644304" w:rsidRDefault="00394146">
      <w:pPr>
        <w:rPr>
          <w:rFonts w:hint="eastAsia"/>
        </w:rPr>
      </w:pPr>
      <w:r>
        <w:rPr>
          <w:sz w:val="28"/>
          <w:szCs w:val="28"/>
        </w:rPr>
        <w:t>10. Zadania I obowiązki funkcyjnych w czasie ewakuacji                                12</w:t>
      </w:r>
    </w:p>
    <w:p w:rsidR="00644304" w:rsidRDefault="00394146">
      <w:pPr>
        <w:ind w:left="426" w:hanging="426"/>
        <w:rPr>
          <w:rFonts w:hint="eastAsia"/>
        </w:rPr>
      </w:pPr>
      <w:r>
        <w:rPr>
          <w:sz w:val="28"/>
          <w:szCs w:val="28"/>
        </w:rPr>
        <w:t xml:space="preserve">11. Graficzny plan ewakuacji </w:t>
      </w:r>
      <w:proofErr w:type="gramStart"/>
      <w:r>
        <w:rPr>
          <w:sz w:val="28"/>
          <w:szCs w:val="28"/>
        </w:rPr>
        <w:t xml:space="preserve">ludzi                                                  </w:t>
      </w:r>
      <w:proofErr w:type="gramEnd"/>
      <w:r>
        <w:rPr>
          <w:sz w:val="28"/>
          <w:szCs w:val="28"/>
        </w:rPr>
        <w:t xml:space="preserve">                  13</w:t>
      </w:r>
      <w:r>
        <w:rPr>
          <w:sz w:val="28"/>
          <w:szCs w:val="28"/>
        </w:rPr>
        <w:br/>
        <w:t xml:space="preserve">Plan ewakuacji rzut sytuacyjny </w:t>
      </w:r>
      <w:r>
        <w:rPr>
          <w:sz w:val="28"/>
          <w:szCs w:val="28"/>
        </w:rPr>
        <w:br/>
        <w:t xml:space="preserve">Plan ewakuacji kondygnacji – PIWNICE </w:t>
      </w:r>
      <w:r>
        <w:rPr>
          <w:sz w:val="28"/>
          <w:szCs w:val="28"/>
        </w:rPr>
        <w:br/>
        <w:t xml:space="preserve">Plan ewakuacji kondygnacji – PARTER WYSOKI </w:t>
      </w:r>
      <w:r>
        <w:rPr>
          <w:sz w:val="28"/>
          <w:szCs w:val="28"/>
        </w:rPr>
        <w:br/>
        <w:t>Plan ewakuacji kondygnacji – I -SZE PIĘTRO</w:t>
      </w:r>
      <w:r>
        <w:rPr>
          <w:sz w:val="28"/>
          <w:szCs w:val="28"/>
        </w:rPr>
        <w:br/>
        <w:t>Plan ewakuacji kondygnacji – II -GIE PIĘTRO</w:t>
      </w:r>
      <w:r>
        <w:rPr>
          <w:sz w:val="28"/>
          <w:szCs w:val="28"/>
        </w:rPr>
        <w:br/>
        <w:t>Plan ewakuacji kondygnacji – poddasze</w:t>
      </w:r>
    </w:p>
    <w:p w:rsidR="00644304" w:rsidRDefault="00394146">
      <w:pPr>
        <w:ind w:left="426" w:hanging="426"/>
        <w:rPr>
          <w:rFonts w:hint="eastAsia"/>
        </w:rPr>
      </w:pPr>
      <w:r>
        <w:rPr>
          <w:sz w:val="28"/>
          <w:szCs w:val="28"/>
        </w:rPr>
        <w:t xml:space="preserve">12.  Załączniki (w </w:t>
      </w:r>
      <w:r w:rsidR="00D8710C">
        <w:rPr>
          <w:sz w:val="28"/>
          <w:szCs w:val="28"/>
        </w:rPr>
        <w:t>aktach</w:t>
      </w:r>
      <w:r>
        <w:rPr>
          <w:sz w:val="28"/>
          <w:szCs w:val="28"/>
        </w:rPr>
        <w:t xml:space="preserve"> Sekcji Inwestycji Remontów i Admin</w:t>
      </w:r>
      <w:r w:rsidR="00BF6C8F">
        <w:rPr>
          <w:sz w:val="28"/>
          <w:szCs w:val="28"/>
        </w:rPr>
        <w:t>istracji, IRiA</w:t>
      </w:r>
      <w:r>
        <w:rPr>
          <w:sz w:val="28"/>
          <w:szCs w:val="28"/>
        </w:rPr>
        <w:t>)</w:t>
      </w: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  <w:bookmarkStart w:id="0" w:name="_GoBack"/>
      <w:bookmarkEnd w:id="0"/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644304">
      <w:pPr>
        <w:rPr>
          <w:rFonts w:ascii="Calibri" w:hAnsi="Calibri"/>
          <w:sz w:val="28"/>
          <w:szCs w:val="28"/>
        </w:rPr>
      </w:pPr>
    </w:p>
    <w:p w:rsidR="00644304" w:rsidRDefault="00394146">
      <w:pPr>
        <w:jc w:val="center"/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1. WSTĘP</w:t>
      </w:r>
    </w:p>
    <w:p w:rsidR="00644304" w:rsidRDefault="00394146">
      <w:pPr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644304" w:rsidRDefault="00394146">
      <w:pPr>
        <w:rPr>
          <w:rFonts w:ascii="Calibri" w:hAnsi="Calibri"/>
        </w:rPr>
      </w:pPr>
      <w:r>
        <w:t>Obowiązek wykonania „INSTRUKCJI BEZPIECZEŃSTWA POŻAROWEGO" (IBP) wynika z § 6 ust, 1 rozporządzenia Ministra Spraw Wewnętrznych i Administracji z dnia 7 czerwca 2010 roku w sprawie ochrony przeciwpożarowej budynków, innych obiektów budowlanych i terenów (Dz. U. Nr 109 poz</w:t>
      </w:r>
      <w:proofErr w:type="gramStart"/>
      <w:r>
        <w:t>.719). Zgodnie</w:t>
      </w:r>
      <w:proofErr w:type="gramEnd"/>
      <w:r>
        <w:t xml:space="preserve"> z ustępem 8 w/w przepisu instrukcja bezpieczeństwa pożarowego szczególnie wymaga wykonania z uwagi na kubaturę budynku, która przekracza 1000 m³, tj. wynosi 32500m³. </w:t>
      </w:r>
      <w:r>
        <w:br/>
        <w:t>Instrukcja IBP Akademii Sztuki przy alei Niepodległości 40 w Szczecinie jest dostępna dla użytkowników w zapisie elektronicznym.</w:t>
      </w:r>
    </w:p>
    <w:p w:rsidR="00644304" w:rsidRDefault="00394146">
      <w:pPr>
        <w:rPr>
          <w:rFonts w:ascii="Calibri" w:hAnsi="Calibri"/>
        </w:rPr>
      </w:pPr>
      <w:r>
        <w:t>Obiekt zabytkowy z uwagi na zmianę sposobu użytkowania wymaga zmiany warunków ochrony ppoż., zapoznawania użytkowników z istniejącymi warunkami bezpieczeństwa i udziału w ćwiczeniach ewakuacji ludzi z budynku. Użytkownik posiada ekspertyzę techniczną rzeczoznawcy i postanowienie KW PSP aprobujące zakres wymaganych zmian budowlanych, technicznych i specjalnych w zakresie dostosowania obiektu do potrzeb dydaktycznych Akademii Sztuki. Prace adaptacyjne, prowadzone projektowanie i modernizacja zabytkowego budynku pozwala na użytkowanie obiektu z koniecznością uwzględnienia dostępnych zabezpieczeń organizacyjnych, które zapewniają bezpieczeństwo ludziom przebywającym w tym budynku.</w:t>
      </w:r>
    </w:p>
    <w:p w:rsidR="00644304" w:rsidRDefault="00394146">
      <w:pPr>
        <w:rPr>
          <w:rFonts w:ascii="Calibri" w:hAnsi="Calibri"/>
        </w:rPr>
      </w:pPr>
      <w:r>
        <w:t>Rektor Akademii Sztuki w Szczecinie i osoba przez niego wyznaczona ma obowiązek kontrolować przestrzegania ustaleń zawartych w instrukcji.</w:t>
      </w:r>
    </w:p>
    <w:p w:rsidR="00644304" w:rsidRDefault="00394146">
      <w:pPr>
        <w:rPr>
          <w:rFonts w:hint="eastAsia"/>
        </w:rPr>
      </w:pPr>
      <w:r>
        <w:rPr>
          <w:color w:val="000000"/>
        </w:rPr>
        <w:t xml:space="preserve">Aktualizacja IBP wprowadza tekst jednolity bez adnotacji i aneksów. Zmienia układ treści, w której wyszczególnia treść podstawową (cz. I) Zapoznanie z treścią części I obowiązuje wszystkich użytkowników obiektu. Załączniki (cz. </w:t>
      </w:r>
      <w:proofErr w:type="gramStart"/>
      <w:r>
        <w:rPr>
          <w:color w:val="000000"/>
        </w:rPr>
        <w:t>II)  –  uzupełniają</w:t>
      </w:r>
      <w:proofErr w:type="gramEnd"/>
      <w:r>
        <w:rPr>
          <w:color w:val="000000"/>
        </w:rPr>
        <w:t xml:space="preserve"> wiedzę treści podstawowej (cz. I), pomagają administracji w utrzymaniu organizacji i bezpieczeństwa.</w:t>
      </w: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644304">
      <w:pPr>
        <w:rPr>
          <w:rFonts w:ascii="Calibri" w:hAnsi="Calibri"/>
          <w:color w:val="548DD4"/>
          <w:sz w:val="28"/>
          <w:szCs w:val="28"/>
        </w:rPr>
      </w:pPr>
    </w:p>
    <w:p w:rsidR="00644304" w:rsidRDefault="00394146">
      <w:pPr>
        <w:pStyle w:val="Style17"/>
        <w:spacing w:before="58" w:after="200" w:line="266" w:lineRule="exact"/>
        <w:ind w:right="7" w:firstLine="0"/>
        <w:jc w:val="center"/>
        <w:rPr>
          <w:rFonts w:ascii="Calibri" w:hAnsi="Calibri"/>
          <w:sz w:val="28"/>
          <w:szCs w:val="28"/>
        </w:rPr>
      </w:pPr>
      <w:r>
        <w:rPr>
          <w:rStyle w:val="FontStyle48"/>
          <w:rFonts w:ascii="Calibri" w:hAnsi="Calibri"/>
          <w:b/>
          <w:bCs/>
          <w:sz w:val="28"/>
          <w:szCs w:val="28"/>
        </w:rPr>
        <w:t>2. WARUNKI BUDOWLANE I INSTALACYJNE</w:t>
      </w:r>
    </w:p>
    <w:p w:rsidR="00644304" w:rsidRDefault="00394146">
      <w:pPr>
        <w:pStyle w:val="Standard"/>
        <w:ind w:firstLine="680"/>
        <w:rPr>
          <w:rFonts w:ascii="Calibri" w:hAnsi="Calibri"/>
        </w:rPr>
      </w:pPr>
      <w:r>
        <w:rPr>
          <w:color w:val="000000"/>
        </w:rPr>
        <w:t xml:space="preserve">Budynek zlokalizowany w Szczecinie przy al. Niepodległości 40 od 2017r stał się własnością Akademii </w:t>
      </w:r>
      <w:proofErr w:type="gramStart"/>
      <w:r>
        <w:rPr>
          <w:color w:val="000000"/>
        </w:rPr>
        <w:t>Sztuki,  zwany</w:t>
      </w:r>
      <w:proofErr w:type="gramEnd"/>
      <w:r>
        <w:rPr>
          <w:color w:val="000000"/>
        </w:rPr>
        <w:t xml:space="preserve"> był potocznie „Pałacem Ziemstwa Pomorskiego”, a obecnie Pałac Muzyki. Przedtem należał do Banku PKO BP. Obiekt wpisany jest do rejestru zabytków.</w:t>
      </w:r>
    </w:p>
    <w:p w:rsidR="00644304" w:rsidRDefault="00394146">
      <w:pPr>
        <w:pStyle w:val="Standard"/>
        <w:ind w:firstLine="624"/>
      </w:pPr>
      <w:r>
        <w:rPr>
          <w:color w:val="000000"/>
        </w:rPr>
        <w:t xml:space="preserve">Budynek jest położony w centrum miasta Szczecina, pomiędzy placem Żołnierza i Bramą Portową.  Nieruchomość położona jest w zabudowie zwartej o przeznaczeniu mieszkalno-usługowym: Bank PKO </w:t>
      </w:r>
      <w:proofErr w:type="spellStart"/>
      <w:r>
        <w:rPr>
          <w:color w:val="000000"/>
        </w:rPr>
        <w:t>s.a</w:t>
      </w:r>
      <w:proofErr w:type="spellEnd"/>
      <w:r>
        <w:rPr>
          <w:rStyle w:val="FontStyle48"/>
          <w:sz w:val="22"/>
          <w:szCs w:val="22"/>
        </w:rPr>
        <w:t xml:space="preserve">, Poczta Polska, Centrum Handlowe "Kaskada". </w:t>
      </w:r>
      <w:r>
        <w:rPr>
          <w:color w:val="000000"/>
        </w:rPr>
        <w:t>Budynek usytuowany jest przy zbiegu alei Niepodległości i ulicy Bogurodzicy.</w:t>
      </w:r>
      <w:r>
        <w:rPr>
          <w:b/>
          <w:bCs/>
          <w:color w:val="000000"/>
        </w:rPr>
        <w:t xml:space="preserve"> </w:t>
      </w:r>
      <w:r>
        <w:rPr>
          <w:rStyle w:val="FontStyle48"/>
          <w:sz w:val="22"/>
          <w:szCs w:val="22"/>
        </w:rPr>
        <w:t>Wybudowany został, w rzucie, w kształcie litery U,</w:t>
      </w:r>
      <w:r>
        <w:rPr>
          <w:color w:val="000000"/>
        </w:rPr>
        <w:t xml:space="preserve"> zwrócony frontem do al. Niepodległości. Od strony ul. Bogurodzicy jest wybetonowany wewnętrzny dziedziniec z bramą wjazdową oraz pas zieleni od strony Centrum Handlowego ”Kaskada”. </w:t>
      </w:r>
      <w:r>
        <w:rPr>
          <w:color w:val="000000"/>
        </w:rPr>
        <w:br/>
        <w:t xml:space="preserve">            </w:t>
      </w:r>
      <w:r>
        <w:rPr>
          <w:rStyle w:val="FontStyle48"/>
          <w:sz w:val="22"/>
          <w:szCs w:val="22"/>
        </w:rPr>
        <w:t xml:space="preserve">Droga pożarowa. Dojazd do budynku jest z ul. Grodzkiej, przez Bramę Portową do alei Niepodległości. Dostęp do budynku jest od al. Niepodległości </w:t>
      </w:r>
      <w:proofErr w:type="gramStart"/>
      <w:r>
        <w:rPr>
          <w:rStyle w:val="FontStyle48"/>
          <w:sz w:val="22"/>
          <w:szCs w:val="22"/>
        </w:rPr>
        <w:t>i  ul</w:t>
      </w:r>
      <w:proofErr w:type="gramEnd"/>
      <w:r>
        <w:rPr>
          <w:rStyle w:val="FontStyle48"/>
          <w:sz w:val="22"/>
          <w:szCs w:val="22"/>
        </w:rPr>
        <w:t xml:space="preserve">. Bogurodzicy. Komenda Miejska PSP znajduje się w odległości 0,5 km od budynku (patrz szkic sytuacyjny). </w:t>
      </w:r>
    </w:p>
    <w:p w:rsidR="00644304" w:rsidRDefault="00394146">
      <w:pPr>
        <w:pStyle w:val="Standard"/>
        <w:ind w:firstLine="624"/>
      </w:pPr>
      <w:r>
        <w:rPr>
          <w:rStyle w:val="FontStyle48"/>
          <w:sz w:val="22"/>
          <w:szCs w:val="22"/>
        </w:rPr>
        <w:t xml:space="preserve">Pałac jest zaliczony do budynków średniowysokich. Wysokość budynku: 19,23 m do kalenicy, z kopułą 22,44 m z masztem 25,04 m. </w:t>
      </w:r>
    </w:p>
    <w:p w:rsidR="00644304" w:rsidRDefault="00394146">
      <w:pPr>
        <w:pStyle w:val="Standard"/>
        <w:ind w:firstLine="680"/>
      </w:pPr>
      <w:r>
        <w:rPr>
          <w:rStyle w:val="FontStyle48"/>
          <w:sz w:val="22"/>
          <w:szCs w:val="22"/>
        </w:rPr>
        <w:t xml:space="preserve">Budynek jest trzykondygnacyjny: z kondygnacją przyziemną i z wysokim poddaszem. Kondygnacja przyziemna, wysokie poddasze, sala operacyjna (kasowa na parterze) i sala koncertowa na I piętrze są wyłączone z eksploatacji do czasu zakończenia modernizacji. </w:t>
      </w:r>
    </w:p>
    <w:p w:rsidR="00644304" w:rsidRDefault="00394146">
      <w:pPr>
        <w:pStyle w:val="Standard"/>
        <w:spacing w:line="266" w:lineRule="exact"/>
        <w:ind w:firstLine="737"/>
      </w:pPr>
      <w:r>
        <w:rPr>
          <w:rStyle w:val="FontStyle48"/>
          <w:sz w:val="22"/>
          <w:szCs w:val="22"/>
        </w:rPr>
        <w:t>Budynek został wzniesiony w technologii tradycyjnej; wykonany na wylewanych masywnych ławach żelbetonowych. Ściany są niepalne, z cegły pełnej i z cegły ceramicznej.</w:t>
      </w:r>
    </w:p>
    <w:p w:rsidR="00644304" w:rsidRDefault="00394146">
      <w:pPr>
        <w:pStyle w:val="Style23"/>
        <w:tabs>
          <w:tab w:val="left" w:pos="0"/>
        </w:tabs>
        <w:spacing w:line="281" w:lineRule="exact"/>
        <w:ind w:firstLine="737"/>
      </w:pPr>
      <w:r>
        <w:rPr>
          <w:rStyle w:val="FontStyle48"/>
          <w:rFonts w:ascii="Calibri" w:hAnsi="Calibri"/>
          <w:sz w:val="22"/>
          <w:szCs w:val="22"/>
        </w:rPr>
        <w:t xml:space="preserve">Stropy są na belkach stalowych w rozstawie </w:t>
      </w:r>
      <w:proofErr w:type="gramStart"/>
      <w:r>
        <w:rPr>
          <w:rStyle w:val="FontStyle48"/>
          <w:rFonts w:ascii="Calibri" w:hAnsi="Calibri"/>
          <w:sz w:val="22"/>
          <w:szCs w:val="22"/>
        </w:rPr>
        <w:t>belek co</w:t>
      </w:r>
      <w:proofErr w:type="gramEnd"/>
      <w:r>
        <w:rPr>
          <w:rStyle w:val="FontStyle48"/>
          <w:rFonts w:ascii="Calibri" w:hAnsi="Calibri"/>
          <w:sz w:val="22"/>
          <w:szCs w:val="22"/>
        </w:rPr>
        <w:t xml:space="preserve"> 100cm.</w:t>
      </w:r>
      <w:r>
        <w:rPr>
          <w:rFonts w:ascii="Calibri" w:hAnsi="Calibri"/>
        </w:rPr>
        <w:t xml:space="preserve"> W sali giełdowej i na klatkach schodowych i na korytarzach sklepienie są krzyżowo- żebrowe, a filary dekorowane są ornamentami</w:t>
      </w:r>
      <w:r>
        <w:rPr>
          <w:rStyle w:val="FontStyle48"/>
          <w:rFonts w:ascii="Calibri" w:hAnsi="Calibri"/>
          <w:sz w:val="22"/>
          <w:szCs w:val="22"/>
        </w:rPr>
        <w:t>. Podłogi w sali koncertowej i pomieszczeniach administracyjnych są wyłożone parkietem dębowym. Sala operacyjna (kasowa) (w parterze) ma posadzkę wyłożoną płytkami z jasnego marmuru.</w:t>
      </w:r>
    </w:p>
    <w:p w:rsidR="00644304" w:rsidRDefault="00394146">
      <w:pPr>
        <w:pStyle w:val="Standard"/>
        <w:ind w:firstLine="737"/>
        <w:rPr>
          <w:rFonts w:ascii="Calibri" w:hAnsi="Calibri"/>
          <w:color w:val="548DD4"/>
          <w:sz w:val="28"/>
          <w:szCs w:val="28"/>
        </w:rPr>
      </w:pPr>
      <w:r>
        <w:rPr>
          <w:color w:val="000000"/>
        </w:rPr>
        <w:t>Stolarka drzwiowa drewniana, w przeważającej części jest zachowana w stanie pierwotnym, dobrym.</w:t>
      </w:r>
    </w:p>
    <w:p w:rsidR="00644304" w:rsidRDefault="00644304">
      <w:pPr>
        <w:pStyle w:val="Standard"/>
        <w:ind w:firstLine="737"/>
        <w:rPr>
          <w:color w:val="000000"/>
        </w:rPr>
      </w:pPr>
    </w:p>
    <w:p w:rsidR="00644304" w:rsidRDefault="00394146">
      <w:pPr>
        <w:spacing w:before="86" w:after="200" w:line="281" w:lineRule="exact"/>
        <w:rPr>
          <w:rFonts w:hint="eastAsia"/>
        </w:rPr>
      </w:pPr>
      <w:r>
        <w:rPr>
          <w:rStyle w:val="FontStyle48"/>
          <w:b/>
          <w:bCs/>
          <w:sz w:val="22"/>
          <w:szCs w:val="22"/>
        </w:rPr>
        <w:t xml:space="preserve">W budynku występują następujące instalacje: </w:t>
      </w:r>
      <w:r>
        <w:rPr>
          <w:rStyle w:val="FontStyle48"/>
          <w:b/>
          <w:bCs/>
          <w:sz w:val="22"/>
          <w:szCs w:val="22"/>
        </w:rPr>
        <w:br/>
      </w:r>
      <w:r>
        <w:rPr>
          <w:rStyle w:val="FontStyle48"/>
          <w:sz w:val="22"/>
          <w:szCs w:val="22"/>
        </w:rPr>
        <w:t xml:space="preserve">instalacja wody ciepłej i zimnej, </w:t>
      </w:r>
      <w:r>
        <w:rPr>
          <w:rStyle w:val="FontStyle48"/>
          <w:sz w:val="22"/>
          <w:szCs w:val="22"/>
        </w:rPr>
        <w:br/>
        <w:t xml:space="preserve">instalacja kanalizacji sanitarnej, </w:t>
      </w:r>
      <w:r>
        <w:rPr>
          <w:rStyle w:val="FontStyle48"/>
          <w:sz w:val="22"/>
          <w:szCs w:val="22"/>
        </w:rPr>
        <w:br/>
        <w:t xml:space="preserve">instalacja kanalizacji deszczowej, </w:t>
      </w:r>
      <w:r>
        <w:rPr>
          <w:rStyle w:val="FontStyle48"/>
          <w:sz w:val="22"/>
          <w:szCs w:val="22"/>
        </w:rPr>
        <w:br/>
      </w:r>
      <w:proofErr w:type="gramStart"/>
      <w:r>
        <w:rPr>
          <w:rStyle w:val="FontStyle48"/>
          <w:sz w:val="22"/>
          <w:szCs w:val="22"/>
        </w:rPr>
        <w:t>instalacja  grzewcza</w:t>
      </w:r>
      <w:proofErr w:type="gramEnd"/>
      <w:r>
        <w:rPr>
          <w:rStyle w:val="FontStyle48"/>
          <w:sz w:val="22"/>
          <w:szCs w:val="22"/>
        </w:rPr>
        <w:t xml:space="preserve"> (zasilana z węzła co.),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rStyle w:val="FontStyle48"/>
          <w:sz w:val="22"/>
          <w:szCs w:val="22"/>
        </w:rPr>
        <w:t xml:space="preserve">instalacja </w:t>
      </w:r>
      <w:proofErr w:type="gramStart"/>
      <w:r>
        <w:rPr>
          <w:rStyle w:val="FontStyle48"/>
          <w:sz w:val="22"/>
          <w:szCs w:val="22"/>
        </w:rPr>
        <w:t xml:space="preserve">elektryczna,  </w:t>
      </w:r>
      <w:r>
        <w:rPr>
          <w:rStyle w:val="FontStyle48"/>
          <w:sz w:val="22"/>
          <w:szCs w:val="22"/>
        </w:rPr>
        <w:br/>
        <w:t>instalacja</w:t>
      </w:r>
      <w:proofErr w:type="gramEnd"/>
      <w:r>
        <w:rPr>
          <w:rStyle w:val="FontStyle48"/>
          <w:sz w:val="22"/>
          <w:szCs w:val="22"/>
        </w:rPr>
        <w:t xml:space="preserve"> oświetlenia awaryjnego, </w:t>
      </w:r>
      <w:r>
        <w:rPr>
          <w:rStyle w:val="FontStyle48"/>
          <w:sz w:val="22"/>
          <w:szCs w:val="22"/>
        </w:rPr>
        <w:br/>
        <w:t xml:space="preserve">instalacja teletechniczna, </w:t>
      </w:r>
      <w:r>
        <w:rPr>
          <w:rStyle w:val="FontStyle48"/>
          <w:sz w:val="22"/>
          <w:szCs w:val="22"/>
        </w:rPr>
        <w:br/>
        <w:t>instalacje teleinformatyczna, z serwerem</w:t>
      </w:r>
      <w:r>
        <w:rPr>
          <w:rStyle w:val="FontStyle48"/>
          <w:sz w:val="22"/>
          <w:szCs w:val="22"/>
        </w:rPr>
        <w:br/>
        <w:t>wentylacja grawitacyjna i mechaniczna</w:t>
      </w:r>
      <w:r>
        <w:rPr>
          <w:rStyle w:val="FontStyle48"/>
          <w:sz w:val="22"/>
          <w:szCs w:val="22"/>
        </w:rPr>
        <w:br/>
        <w:t xml:space="preserve">instalacja piorunochronna, </w:t>
      </w:r>
      <w:r>
        <w:rPr>
          <w:rStyle w:val="FontStyle48"/>
          <w:sz w:val="22"/>
          <w:szCs w:val="22"/>
        </w:rPr>
        <w:br/>
        <w:t xml:space="preserve">sieć hydrantów wewnętrznych, </w:t>
      </w:r>
      <w:r>
        <w:rPr>
          <w:rStyle w:val="FontStyle48"/>
          <w:sz w:val="22"/>
          <w:szCs w:val="22"/>
        </w:rPr>
        <w:br/>
        <w:t>antywłamaniowa</w:t>
      </w:r>
      <w:r>
        <w:rPr>
          <w:rStyle w:val="FontStyle48"/>
          <w:sz w:val="22"/>
          <w:szCs w:val="22"/>
        </w:rPr>
        <w:br/>
        <w:t>system sygnalizacji  alarmowo-pożarowej (SAP)</w:t>
      </w:r>
    </w:p>
    <w:p w:rsidR="00644304" w:rsidRDefault="00394146">
      <w:pPr>
        <w:pStyle w:val="Standard"/>
        <w:spacing w:before="122" w:after="200" w:line="259" w:lineRule="exact"/>
        <w:ind w:firstLine="706"/>
        <w:rPr>
          <w:rFonts w:ascii="Calibri" w:hAnsi="Calibri"/>
          <w:color w:val="548DD4"/>
          <w:sz w:val="28"/>
          <w:szCs w:val="28"/>
        </w:rPr>
      </w:pPr>
      <w:r>
        <w:rPr>
          <w:rStyle w:val="FontStyle48"/>
          <w:rFonts w:cs="Calibri"/>
          <w:bCs/>
          <w:sz w:val="22"/>
          <w:szCs w:val="22"/>
        </w:rPr>
        <w:t xml:space="preserve">  W budynku przy alei Niepodległości 40 mieszczą się dwa wydziały Akademii Sztuki: Wydział Edukacji Muzycznej i Wydział Instrumentalny. Na trzech kondygnacjach rozmieszczono: część biur administracji Uczelni, sale dydaktyczne, socjalne i warsztat stroiciela. W kondygnacji piwnic (pod nadzorem administracji są zabezpieczenia techniczne; węzeł cieplny, główny zawór wody, główny wyłącznik prądu i serwer</w:t>
      </w:r>
      <w:r>
        <w:rPr>
          <w:rStyle w:val="FontStyle48"/>
          <w:rFonts w:cs="Calibri"/>
          <w:bCs/>
          <w:color w:val="FF0000"/>
          <w:sz w:val="22"/>
          <w:szCs w:val="22"/>
        </w:rPr>
        <w:t xml:space="preserve">. </w:t>
      </w:r>
    </w:p>
    <w:p w:rsidR="00644304" w:rsidRDefault="00644304">
      <w:pPr>
        <w:pStyle w:val="Standard"/>
        <w:spacing w:before="122" w:after="200" w:line="259" w:lineRule="exact"/>
        <w:ind w:firstLine="706"/>
        <w:rPr>
          <w:rStyle w:val="FontStyle48"/>
          <w:rFonts w:ascii="Calibri" w:hAnsi="Calibri" w:cs="Calibri"/>
          <w:bCs/>
          <w:color w:val="FF0000"/>
          <w:sz w:val="22"/>
          <w:szCs w:val="22"/>
        </w:rPr>
      </w:pPr>
    </w:p>
    <w:p w:rsidR="00644304" w:rsidRDefault="00394146">
      <w:pPr>
        <w:pStyle w:val="Style16"/>
        <w:tabs>
          <w:tab w:val="left" w:pos="0"/>
        </w:tabs>
        <w:spacing w:before="238" w:after="200"/>
        <w:ind w:firstLine="0"/>
      </w:pPr>
      <w:r>
        <w:rPr>
          <w:rStyle w:val="FontStyle48"/>
          <w:rFonts w:ascii="Calibri" w:hAnsi="Calibri"/>
          <w:b/>
          <w:bCs/>
          <w:sz w:val="22"/>
          <w:szCs w:val="22"/>
        </w:rPr>
        <w:t xml:space="preserve">2.1 </w:t>
      </w:r>
      <w:r>
        <w:rPr>
          <w:rFonts w:ascii="Calibri" w:hAnsi="Calibri"/>
          <w:b/>
        </w:rPr>
        <w:t xml:space="preserve">Klasyfikacja pożarowa budynku </w:t>
      </w:r>
    </w:p>
    <w:p w:rsidR="00644304" w:rsidRDefault="00394146">
      <w:pPr>
        <w:pStyle w:val="Style17"/>
        <w:spacing w:before="230" w:after="200" w:line="266" w:lineRule="exact"/>
        <w:ind w:firstLine="0"/>
        <w:jc w:val="left"/>
      </w:pPr>
      <w:r>
        <w:rPr>
          <w:rStyle w:val="FontStyle48"/>
          <w:rFonts w:ascii="Calibri" w:hAnsi="Calibri"/>
          <w:sz w:val="22"/>
          <w:szCs w:val="22"/>
        </w:rPr>
        <w:t xml:space="preserve">          Wysokość budynku wynosi </w:t>
      </w:r>
      <w:r>
        <w:rPr>
          <w:rStyle w:val="FontStyle48"/>
          <w:rFonts w:ascii="Calibri" w:hAnsi="Calibri"/>
          <w:b/>
          <w:bCs/>
          <w:sz w:val="22"/>
          <w:szCs w:val="22"/>
        </w:rPr>
        <w:t>23,94 m</w:t>
      </w:r>
      <w:r>
        <w:rPr>
          <w:rStyle w:val="FontStyle48"/>
          <w:rFonts w:ascii="Calibri" w:hAnsi="Calibri"/>
          <w:sz w:val="22"/>
          <w:szCs w:val="22"/>
        </w:rPr>
        <w:t xml:space="preserve"> i kwalifikuje go do grupy budynków średniowysokich (12 m do 25 m</w:t>
      </w:r>
      <w:proofErr w:type="gramStart"/>
      <w:r>
        <w:rPr>
          <w:rStyle w:val="FontStyle48"/>
          <w:rFonts w:ascii="Calibri" w:hAnsi="Calibri"/>
          <w:sz w:val="22"/>
          <w:szCs w:val="22"/>
        </w:rPr>
        <w:t xml:space="preserve">). </w:t>
      </w:r>
      <w:r>
        <w:rPr>
          <w:rStyle w:val="FontStyle48"/>
          <w:rFonts w:ascii="Calibri" w:hAnsi="Calibri"/>
          <w:sz w:val="22"/>
          <w:szCs w:val="22"/>
        </w:rPr>
        <w:br/>
      </w:r>
      <w:r>
        <w:rPr>
          <w:rStyle w:val="FontStyle48"/>
          <w:rFonts w:ascii="Calibri" w:hAnsi="Calibri"/>
          <w:bCs/>
          <w:sz w:val="22"/>
          <w:szCs w:val="22"/>
        </w:rPr>
        <w:t>Budynek</w:t>
      </w:r>
      <w:proofErr w:type="gramEnd"/>
      <w:r>
        <w:rPr>
          <w:rStyle w:val="FontStyle48"/>
          <w:rFonts w:ascii="Calibri" w:hAnsi="Calibri"/>
          <w:bCs/>
          <w:sz w:val="22"/>
          <w:szCs w:val="22"/>
        </w:rPr>
        <w:t xml:space="preserve"> użyteczności publicznej ze względu na przeznaczenie i sposób użytkowania należy do kategorii zagrożenia ludzi ZL III.</w:t>
      </w:r>
      <w:r>
        <w:rPr>
          <w:rStyle w:val="FontStyle48"/>
          <w:rFonts w:ascii="Calibri" w:hAnsi="Calibri" w:cs="Calibri"/>
          <w:bCs/>
          <w:color w:val="FF0000"/>
          <w:sz w:val="22"/>
          <w:szCs w:val="22"/>
        </w:rPr>
        <w:t xml:space="preserve"> </w:t>
      </w:r>
      <w:r>
        <w:rPr>
          <w:rStyle w:val="FontStyle48"/>
          <w:rFonts w:ascii="Calibri" w:hAnsi="Calibri" w:cs="Calibri"/>
          <w:bCs/>
          <w:sz w:val="22"/>
          <w:szCs w:val="22"/>
        </w:rPr>
        <w:t xml:space="preserve">Spełnia wymagania klasy odporności pożarowej B dla budynku, zgodnie z § 212 ust. 2 rozporządzenia Ministra Infrastruktury z dnia 12 kwietnia 2002 r. w sprawie warunków technicznych, jakim powinny odpowiadać budynki i ich usytuowanie (Dz. U. Nr 75, poz., 690 ze zm.). </w:t>
      </w:r>
    </w:p>
    <w:p w:rsidR="00644304" w:rsidRDefault="00394146">
      <w:pPr>
        <w:pStyle w:val="Style16"/>
        <w:spacing w:before="259" w:after="200"/>
        <w:ind w:firstLine="0"/>
      </w:pPr>
      <w:r>
        <w:rPr>
          <w:rStyle w:val="FontStyle48"/>
          <w:rFonts w:ascii="Calibri" w:hAnsi="Calibri"/>
          <w:b/>
          <w:bCs/>
          <w:sz w:val="22"/>
          <w:szCs w:val="22"/>
        </w:rPr>
        <w:t>2.2 Warunki budowlane do ewakuacji</w:t>
      </w:r>
    </w:p>
    <w:p w:rsidR="00644304" w:rsidRDefault="00394146">
      <w:pPr>
        <w:pStyle w:val="Style17"/>
        <w:spacing w:before="122" w:after="200" w:line="266" w:lineRule="exact"/>
      </w:pPr>
      <w:r>
        <w:rPr>
          <w:rStyle w:val="FontStyle48"/>
          <w:rFonts w:ascii="Calibri" w:hAnsi="Calibri"/>
          <w:b/>
          <w:bCs/>
          <w:sz w:val="22"/>
          <w:szCs w:val="22"/>
        </w:rPr>
        <w:t xml:space="preserve">Pionowe drogi ewakuacji. </w:t>
      </w:r>
      <w:r>
        <w:rPr>
          <w:rStyle w:val="FontStyle48"/>
          <w:rFonts w:ascii="Calibri" w:hAnsi="Calibri"/>
          <w:sz w:val="22"/>
          <w:szCs w:val="22"/>
        </w:rPr>
        <w:t>Ewakuacja ludzi z budynku może odbywać się trzema klatkami schodowymi A, B i C. Klatka schodowa A od alei Niepodległości jest klatką główną i otwartą, czynną całą dobę. Klatki schodowe B i C łączą wszystkie kondygnacje budynku, ale są zamknięte i przystosowane tylko do celów ewakuacji ludzi, z kluczem w specjalnym, przeszklonym pudełku. Drzwi wyjściowe drewniane.  Wszystkie klatki schodowe są wykonane z kamienia (piaskowca).</w:t>
      </w:r>
    </w:p>
    <w:p w:rsidR="00644304" w:rsidRDefault="00394146">
      <w:pPr>
        <w:pStyle w:val="Style17"/>
        <w:spacing w:before="122" w:after="200" w:line="266" w:lineRule="exact"/>
      </w:pPr>
      <w:r>
        <w:rPr>
          <w:rStyle w:val="FontStyle48"/>
          <w:rFonts w:ascii="Calibri" w:hAnsi="Calibri"/>
          <w:b/>
          <w:bCs/>
          <w:sz w:val="22"/>
          <w:szCs w:val="22"/>
        </w:rPr>
        <w:t>Poziome drogi ewakuacji</w:t>
      </w:r>
      <w:r>
        <w:rPr>
          <w:rStyle w:val="FontStyle48"/>
          <w:rFonts w:ascii="Calibri" w:hAnsi="Calibri"/>
          <w:sz w:val="22"/>
          <w:szCs w:val="22"/>
        </w:rPr>
        <w:t xml:space="preserve"> stanowią wewnętrzne korytarze o dwóch zmiennych szerokościach, </w:t>
      </w:r>
      <w:r>
        <w:rPr>
          <w:rStyle w:val="FontStyle48"/>
          <w:rFonts w:ascii="Calibri" w:hAnsi="Calibri"/>
          <w:sz w:val="22"/>
          <w:szCs w:val="22"/>
        </w:rPr>
        <w:br/>
        <w:t>z oświetleniem awaryjnym na trzech użytkowanych kondygnacjach.</w:t>
      </w:r>
    </w:p>
    <w:p w:rsidR="00644304" w:rsidRDefault="00394146">
      <w:pPr>
        <w:pStyle w:val="Style17"/>
        <w:spacing w:before="122" w:after="200" w:line="266" w:lineRule="exact"/>
      </w:pPr>
      <w:r>
        <w:rPr>
          <w:rStyle w:val="FontStyle48"/>
          <w:rFonts w:ascii="Calibri" w:hAnsi="Calibri"/>
          <w:b/>
          <w:bCs/>
          <w:sz w:val="22"/>
          <w:szCs w:val="22"/>
        </w:rPr>
        <w:t>Dojście ewakuacyjne.</w:t>
      </w:r>
      <w:r>
        <w:rPr>
          <w:rStyle w:val="FontStyle48"/>
          <w:rFonts w:ascii="Calibri" w:hAnsi="Calibri"/>
          <w:sz w:val="22"/>
          <w:szCs w:val="22"/>
        </w:rPr>
        <w:t xml:space="preserve"> Długość dojścia jest odległością od miejsca pobytu do wyjścia na korytarz (drogę ewakuacji). Długość ta nie przekracza 6m.</w:t>
      </w:r>
    </w:p>
    <w:p w:rsidR="00644304" w:rsidRDefault="00394146">
      <w:pPr>
        <w:pStyle w:val="Style17"/>
        <w:spacing w:line="266" w:lineRule="exact"/>
      </w:pPr>
      <w:proofErr w:type="gramStart"/>
      <w:r>
        <w:rPr>
          <w:rStyle w:val="FontStyle48"/>
          <w:rFonts w:ascii="Calibri" w:hAnsi="Calibri"/>
          <w:b/>
          <w:bCs/>
          <w:u w:val="single"/>
        </w:rPr>
        <w:t>Długość  drogi</w:t>
      </w:r>
      <w:proofErr w:type="gramEnd"/>
      <w:r>
        <w:rPr>
          <w:rStyle w:val="FontStyle48"/>
          <w:rFonts w:ascii="Calibri" w:hAnsi="Calibri"/>
          <w:b/>
          <w:bCs/>
          <w:u w:val="single"/>
        </w:rPr>
        <w:t xml:space="preserve"> ewakuacji z parteru</w:t>
      </w:r>
    </w:p>
    <w:p w:rsidR="00644304" w:rsidRDefault="00394146">
      <w:pPr>
        <w:pStyle w:val="Style17"/>
        <w:spacing w:line="266" w:lineRule="exact"/>
        <w:ind w:firstLine="0"/>
      </w:pPr>
      <w:r>
        <w:rPr>
          <w:rStyle w:val="FontStyle48"/>
          <w:rFonts w:ascii="Calibri" w:hAnsi="Calibri"/>
          <w:bCs/>
          <w:sz w:val="22"/>
          <w:szCs w:val="22"/>
        </w:rPr>
        <w:t>Tylko w przypadku poziomu parteru długość drogi ewakuacyjnej nie przekracza 40 m, a droga dojścia prowadzi przez nie więcej niż dwa pomieszczenia, ok. 6m.</w:t>
      </w:r>
      <w:r>
        <w:t xml:space="preserve"> </w:t>
      </w:r>
      <w:r>
        <w:rPr>
          <w:rStyle w:val="FontStyle48"/>
          <w:rFonts w:ascii="Calibri" w:hAnsi="Calibri"/>
          <w:bCs/>
          <w:sz w:val="22"/>
          <w:szCs w:val="22"/>
        </w:rPr>
        <w:t>Długość dróg poziomych 26m, przedsionek 8</w:t>
      </w:r>
      <w:r>
        <w:rPr>
          <w:rFonts w:ascii="Calibri" w:hAnsi="Calibri"/>
        </w:rPr>
        <w:t xml:space="preserve">m, </w:t>
      </w:r>
      <w:r>
        <w:rPr>
          <w:rFonts w:ascii="Calibri" w:hAnsi="Calibri"/>
        </w:rPr>
        <w:br/>
        <w:t>razem 34m</w:t>
      </w:r>
    </w:p>
    <w:p w:rsidR="00644304" w:rsidRDefault="00394146">
      <w:pPr>
        <w:pStyle w:val="Style17"/>
        <w:spacing w:line="266" w:lineRule="exact"/>
      </w:pPr>
      <w:r>
        <w:rPr>
          <w:rStyle w:val="FontStyle48"/>
          <w:rFonts w:ascii="Calibri" w:hAnsi="Calibri"/>
          <w:b/>
          <w:bCs/>
          <w:u w:val="single"/>
        </w:rPr>
        <w:t>Długość drogi ewakuacji z I piętra</w:t>
      </w:r>
    </w:p>
    <w:p w:rsidR="00644304" w:rsidRDefault="00394146">
      <w:pPr>
        <w:pStyle w:val="Style17"/>
        <w:spacing w:line="266" w:lineRule="exact"/>
        <w:ind w:firstLine="0"/>
      </w:pPr>
      <w:r>
        <w:rPr>
          <w:rStyle w:val="FontStyle48"/>
          <w:rFonts w:ascii="Calibri" w:hAnsi="Calibri"/>
          <w:bCs/>
          <w:sz w:val="22"/>
          <w:szCs w:val="22"/>
        </w:rPr>
        <w:t>Długość dróg poziomych 30</w:t>
      </w:r>
      <w:r>
        <w:rPr>
          <w:rFonts w:ascii="Calibri" w:hAnsi="Calibri"/>
        </w:rPr>
        <w:t>m,</w:t>
      </w:r>
      <w:r>
        <w:rPr>
          <w:rStyle w:val="FontStyle48"/>
          <w:rFonts w:ascii="Calibri" w:hAnsi="Calibri"/>
          <w:bCs/>
          <w:sz w:val="22"/>
          <w:szCs w:val="22"/>
        </w:rPr>
        <w:t xml:space="preserve"> pionowych 20m, przedsionek 8m,</w:t>
      </w:r>
      <w:r>
        <w:rPr>
          <w:rFonts w:ascii="Calibri" w:hAnsi="Calibri"/>
        </w:rPr>
        <w:t xml:space="preserve"> razem 40m -</w:t>
      </w:r>
      <w:r>
        <w:t xml:space="preserve"> </w:t>
      </w:r>
      <w:r>
        <w:rPr>
          <w:rStyle w:val="FontStyle48"/>
          <w:rFonts w:ascii="Calibri" w:hAnsi="Calibri"/>
          <w:bCs/>
          <w:sz w:val="22"/>
          <w:szCs w:val="22"/>
        </w:rPr>
        <w:t>58m.</w:t>
      </w:r>
    </w:p>
    <w:p w:rsidR="00644304" w:rsidRDefault="00644304">
      <w:pPr>
        <w:pStyle w:val="Style17"/>
        <w:spacing w:line="266" w:lineRule="exact"/>
        <w:ind w:firstLine="0"/>
      </w:pPr>
    </w:p>
    <w:p w:rsidR="00644304" w:rsidRDefault="00394146">
      <w:pPr>
        <w:pStyle w:val="Style17"/>
        <w:spacing w:line="266" w:lineRule="exact"/>
      </w:pPr>
      <w:r>
        <w:rPr>
          <w:rStyle w:val="FontStyle48"/>
          <w:rFonts w:ascii="Calibri" w:hAnsi="Calibri"/>
          <w:b/>
          <w:bCs/>
          <w:sz w:val="22"/>
          <w:szCs w:val="22"/>
          <w:u w:val="single"/>
        </w:rPr>
        <w:t>Długość drogi ewakuacji z II piętra</w:t>
      </w:r>
    </w:p>
    <w:p w:rsidR="00644304" w:rsidRDefault="00394146">
      <w:pPr>
        <w:pStyle w:val="Style17"/>
        <w:spacing w:line="266" w:lineRule="exact"/>
        <w:ind w:firstLine="0"/>
      </w:pPr>
      <w:r>
        <w:rPr>
          <w:rStyle w:val="FontStyle48"/>
          <w:rFonts w:ascii="Calibri" w:hAnsi="Calibri"/>
          <w:bCs/>
          <w:sz w:val="22"/>
          <w:szCs w:val="22"/>
        </w:rPr>
        <w:t>Długość dróg poziomych 26m, pionowych 40m, przedsionek 8m, razem 56m -74m.</w:t>
      </w:r>
    </w:p>
    <w:p w:rsidR="00644304" w:rsidRDefault="00644304">
      <w:pPr>
        <w:pStyle w:val="Style17"/>
        <w:spacing w:line="266" w:lineRule="exact"/>
        <w:ind w:firstLine="0"/>
        <w:rPr>
          <w:rFonts w:ascii="Calibri" w:hAnsi="Calibri"/>
        </w:rPr>
      </w:pPr>
    </w:p>
    <w:p w:rsidR="00644304" w:rsidRDefault="00394146">
      <w:pPr>
        <w:pStyle w:val="Style17"/>
        <w:spacing w:line="266" w:lineRule="exact"/>
        <w:ind w:firstLine="691"/>
        <w:jc w:val="left"/>
      </w:pPr>
      <w:r>
        <w:rPr>
          <w:rStyle w:val="FontStyle48"/>
          <w:rFonts w:ascii="Calibri" w:hAnsi="Calibri"/>
          <w:b/>
          <w:sz w:val="22"/>
          <w:szCs w:val="22"/>
        </w:rPr>
        <w:t>Szerokość drzwi A i B</w:t>
      </w:r>
      <w:r>
        <w:rPr>
          <w:rStyle w:val="FontStyle48"/>
          <w:rFonts w:ascii="Calibri" w:hAnsi="Calibri"/>
          <w:sz w:val="22"/>
          <w:szCs w:val="22"/>
        </w:rPr>
        <w:t>, stanowiących wyjście ewakuacyjne z budynku i z klatek schodowych wynosi</w:t>
      </w:r>
      <w:r>
        <w:rPr>
          <w:rFonts w:ascii="Calibri" w:hAnsi="Calibri"/>
        </w:rPr>
        <w:t xml:space="preserve"> </w:t>
      </w:r>
      <w:r>
        <w:rPr>
          <w:rStyle w:val="FontStyle48"/>
          <w:rFonts w:ascii="Calibri" w:hAnsi="Calibri"/>
          <w:sz w:val="22"/>
          <w:szCs w:val="22"/>
        </w:rPr>
        <w:t>w świetle 1,4 m. Tylko wyjście z klatki schodowej C na zewnątrz ma szerokość drzwi 0,9 m. Główne wejście do budynku stanowią drzwi otwierające się do wewnątrz budynku, ale to jest dopuszczalne, z uwagi na zabytkowy charakter obiektu.</w:t>
      </w:r>
    </w:p>
    <w:p w:rsidR="00644304" w:rsidRDefault="00644304">
      <w:pPr>
        <w:pStyle w:val="Style17"/>
        <w:spacing w:line="266" w:lineRule="exact"/>
        <w:ind w:firstLine="0"/>
        <w:jc w:val="left"/>
      </w:pPr>
    </w:p>
    <w:p w:rsidR="00644304" w:rsidRDefault="00394146">
      <w:pPr>
        <w:pStyle w:val="Style17"/>
        <w:spacing w:line="266" w:lineRule="exact"/>
        <w:ind w:firstLine="680"/>
      </w:pPr>
      <w:r>
        <w:rPr>
          <w:rStyle w:val="FontStyle48"/>
          <w:rFonts w:ascii="Calibri" w:hAnsi="Calibri"/>
          <w:sz w:val="22"/>
          <w:szCs w:val="22"/>
        </w:rPr>
        <w:t>Wymiary w poszczególnych klatkach schodowych spełniają wymagania ewakuacyjne, ale różnią się ilością stopni w biegach i szerokością spoczników.</w:t>
      </w:r>
    </w:p>
    <w:p w:rsidR="00644304" w:rsidRDefault="00394146">
      <w:pPr>
        <w:pStyle w:val="Style39"/>
        <w:ind w:firstLine="567"/>
      </w:pPr>
      <w:r>
        <w:rPr>
          <w:rStyle w:val="FontStyle48"/>
          <w:rFonts w:ascii="Calibri" w:hAnsi="Calibri"/>
          <w:sz w:val="22"/>
          <w:szCs w:val="22"/>
        </w:rPr>
        <w:t>W korytarzach jest awaryjne oświetlenie, które uruchamia się po zaniku zasilania elektrycznego</w:t>
      </w:r>
    </w:p>
    <w:p w:rsidR="00644304" w:rsidRDefault="00394146">
      <w:pPr>
        <w:widowControl/>
        <w:suppressAutoHyphens w:val="0"/>
        <w:spacing w:before="230" w:after="200" w:line="266" w:lineRule="exact"/>
        <w:jc w:val="both"/>
        <w:rPr>
          <w:rFonts w:hint="eastAsia"/>
        </w:rPr>
      </w:pPr>
      <w:r>
        <w:rPr>
          <w:b/>
          <w:color w:val="00000A"/>
        </w:rPr>
        <w:t>2.3 DROGI EWAKUACJI Z BUDYNKU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Stan ogólny długości dróg ewakuacji w budynku</w:t>
      </w:r>
    </w:p>
    <w:tbl>
      <w:tblPr>
        <w:tblStyle w:val="Tabela-Siatka"/>
        <w:tblW w:w="9212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842"/>
        <w:gridCol w:w="1842"/>
        <w:gridCol w:w="1953"/>
        <w:gridCol w:w="1732"/>
        <w:gridCol w:w="1843"/>
      </w:tblGrid>
      <w:tr w:rsidR="00644304">
        <w:tc>
          <w:tcPr>
            <w:tcW w:w="1842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 xml:space="preserve">Kondygnacja </w:t>
            </w:r>
          </w:p>
        </w:tc>
        <w:tc>
          <w:tcPr>
            <w:tcW w:w="1842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 xml:space="preserve">DROGA POZIOMA </w:t>
            </w:r>
          </w:p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Korytarz [m]</w:t>
            </w:r>
          </w:p>
        </w:tc>
        <w:tc>
          <w:tcPr>
            <w:tcW w:w="1953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DROGA PIONOWA</w:t>
            </w:r>
          </w:p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Kl. schodowa [m]</w:t>
            </w:r>
          </w:p>
        </w:tc>
        <w:tc>
          <w:tcPr>
            <w:tcW w:w="173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DROGA DOJŚCIA</w:t>
            </w:r>
          </w:p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 xml:space="preserve">[m] </w:t>
            </w:r>
          </w:p>
        </w:tc>
        <w:tc>
          <w:tcPr>
            <w:tcW w:w="184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PRZEDSIONEK</w:t>
            </w:r>
          </w:p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[m]</w:t>
            </w:r>
          </w:p>
        </w:tc>
      </w:tr>
      <w:tr w:rsidR="00644304">
        <w:tc>
          <w:tcPr>
            <w:tcW w:w="1842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PARTER</w:t>
            </w:r>
          </w:p>
        </w:tc>
        <w:tc>
          <w:tcPr>
            <w:tcW w:w="184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45</w:t>
            </w:r>
          </w:p>
        </w:tc>
        <w:tc>
          <w:tcPr>
            <w:tcW w:w="195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-</w:t>
            </w:r>
          </w:p>
        </w:tc>
        <w:tc>
          <w:tcPr>
            <w:tcW w:w="173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8</w:t>
            </w:r>
          </w:p>
        </w:tc>
      </w:tr>
      <w:tr w:rsidR="00644304">
        <w:tc>
          <w:tcPr>
            <w:tcW w:w="1842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I-</w:t>
            </w:r>
            <w:proofErr w:type="spellStart"/>
            <w:r>
              <w:rPr>
                <w:color w:val="00000A"/>
              </w:rPr>
              <w:t>sze</w:t>
            </w:r>
            <w:proofErr w:type="spellEnd"/>
            <w:r>
              <w:rPr>
                <w:color w:val="00000A"/>
              </w:rPr>
              <w:t xml:space="preserve"> PIĘTRO</w:t>
            </w:r>
          </w:p>
        </w:tc>
        <w:tc>
          <w:tcPr>
            <w:tcW w:w="184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45</w:t>
            </w:r>
          </w:p>
        </w:tc>
        <w:tc>
          <w:tcPr>
            <w:tcW w:w="195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20</w:t>
            </w:r>
          </w:p>
        </w:tc>
        <w:tc>
          <w:tcPr>
            <w:tcW w:w="173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8</w:t>
            </w:r>
          </w:p>
        </w:tc>
      </w:tr>
      <w:tr w:rsidR="00644304">
        <w:tc>
          <w:tcPr>
            <w:tcW w:w="1842" w:type="dxa"/>
            <w:shd w:val="clear" w:color="auto" w:fill="auto"/>
          </w:tcPr>
          <w:p w:rsidR="00644304" w:rsidRDefault="00394146">
            <w:pPr>
              <w:rPr>
                <w:rFonts w:ascii="Calibri" w:hAnsi="Calibri"/>
              </w:rPr>
            </w:pPr>
            <w:r>
              <w:rPr>
                <w:color w:val="00000A"/>
              </w:rPr>
              <w:t>II-</w:t>
            </w:r>
            <w:proofErr w:type="spellStart"/>
            <w:r>
              <w:rPr>
                <w:color w:val="00000A"/>
              </w:rPr>
              <w:t>ie</w:t>
            </w:r>
            <w:proofErr w:type="spellEnd"/>
            <w:r>
              <w:rPr>
                <w:color w:val="00000A"/>
              </w:rPr>
              <w:t xml:space="preserve"> PIĘTRO</w:t>
            </w:r>
          </w:p>
        </w:tc>
        <w:tc>
          <w:tcPr>
            <w:tcW w:w="184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45</w:t>
            </w:r>
          </w:p>
        </w:tc>
        <w:tc>
          <w:tcPr>
            <w:tcW w:w="195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40</w:t>
            </w:r>
          </w:p>
        </w:tc>
        <w:tc>
          <w:tcPr>
            <w:tcW w:w="1732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44304" w:rsidRDefault="00394146">
            <w:pPr>
              <w:jc w:val="center"/>
              <w:rPr>
                <w:rFonts w:ascii="Calibri" w:hAnsi="Calibri"/>
              </w:rPr>
            </w:pPr>
            <w:r>
              <w:rPr>
                <w:color w:val="00000A"/>
              </w:rPr>
              <w:t>8</w:t>
            </w:r>
          </w:p>
        </w:tc>
      </w:tr>
    </w:tbl>
    <w:p w:rsidR="00644304" w:rsidRDefault="00644304">
      <w:pPr>
        <w:rPr>
          <w:rFonts w:hint="eastAsia"/>
          <w:color w:val="00000A"/>
        </w:rPr>
      </w:pPr>
    </w:p>
    <w:p w:rsidR="00644304" w:rsidRDefault="00644304">
      <w:pPr>
        <w:rPr>
          <w:rFonts w:hint="eastAsia"/>
          <w:color w:val="00000A"/>
        </w:rPr>
      </w:pPr>
    </w:p>
    <w:p w:rsidR="00644304" w:rsidRDefault="00644304">
      <w:pPr>
        <w:rPr>
          <w:rFonts w:hint="eastAsia"/>
          <w:color w:val="00000A"/>
        </w:rPr>
      </w:pP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W budynku „Pałacu Muzyki i Sztuki”, w której nie ma podziału na strefy pożarowe, wymagana jest długość drogi ewakuacyjnej do 40m. Warunek spełniony jest dla połowy powierzchni użytkowej, pozostała część zostanie uregulowana w czasie modernizacji obiektu.</w:t>
      </w:r>
    </w:p>
    <w:p w:rsidR="00644304" w:rsidRDefault="00394146">
      <w:pPr>
        <w:widowControl/>
        <w:suppressAutoHyphens w:val="0"/>
        <w:spacing w:before="230" w:after="200" w:line="266" w:lineRule="exact"/>
        <w:jc w:val="both"/>
        <w:rPr>
          <w:rFonts w:hint="eastAsia"/>
        </w:rPr>
      </w:pPr>
      <w:r>
        <w:rPr>
          <w:rStyle w:val="FontStyle48"/>
          <w:rFonts w:cs="Calibri"/>
          <w:bCs/>
          <w:color w:val="00000A"/>
          <w:sz w:val="22"/>
          <w:szCs w:val="22"/>
        </w:rPr>
        <w:t>W budynku istnieją trzy wyjścia ewakuacyjne A, B, C przez klatki schodowe. W związku z tym ustala się trzy kierunki wyjścia na zewnątrz budynku z wyszczególnionymi długościami drogi ewakuacyjnej z pomieszczeń użytkowych. Kierunki dróg ewakuacyjnych i wyjścia są na załączonych rzutach kondygnacji budynku.</w:t>
      </w:r>
    </w:p>
    <w:p w:rsidR="00644304" w:rsidRDefault="00394146">
      <w:pPr>
        <w:spacing w:line="266" w:lineRule="exact"/>
        <w:textAlignment w:val="baseline"/>
        <w:rPr>
          <w:rFonts w:ascii="Calibri" w:hAnsi="Calibri"/>
        </w:rPr>
      </w:pPr>
      <w:r>
        <w:rPr>
          <w:rFonts w:cs="Arial"/>
          <w:b/>
          <w:bCs/>
          <w:color w:val="000000"/>
          <w:sz w:val="28"/>
          <w:szCs w:val="28"/>
        </w:rPr>
        <w:t>3. ZABEZPIECZENIA PRZECIWPOŻAROWE SPECJALNE i ICH UTRZYMANIE</w:t>
      </w:r>
    </w:p>
    <w:p w:rsidR="00644304" w:rsidRDefault="00644304">
      <w:pPr>
        <w:spacing w:line="266" w:lineRule="exact"/>
        <w:ind w:left="353"/>
        <w:rPr>
          <w:rFonts w:ascii="Calibri" w:eastAsia="Times New Roman" w:hAnsi="Calibri" w:cs="Arial"/>
          <w:sz w:val="24"/>
        </w:rPr>
      </w:pP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Calibri"/>
          <w:color w:val="00000A"/>
          <w:shd w:val="clear" w:color="auto" w:fill="FFFFFF"/>
        </w:rPr>
        <w:t xml:space="preserve">               Do czasu modernizacji obiekt ma podstawowe zabezpieczenia techniczne I organizacyjne.</w:t>
      </w:r>
      <w:r>
        <w:rPr>
          <w:rFonts w:eastAsia="Times New Roman" w:cs="Calibri"/>
          <w:color w:val="00000A"/>
        </w:rPr>
        <w:t xml:space="preserve"> Utrzymanie i nadzór sprawności działania zabezpieczeń należy do sekcji </w:t>
      </w:r>
      <w:proofErr w:type="spellStart"/>
      <w:r>
        <w:rPr>
          <w:rFonts w:eastAsia="Times New Roman" w:cs="Calibri"/>
          <w:color w:val="00000A"/>
        </w:rPr>
        <w:t>IRiA</w:t>
      </w:r>
      <w:proofErr w:type="spellEnd"/>
      <w:r>
        <w:rPr>
          <w:rFonts w:eastAsia="Times New Roman" w:cs="Calibri"/>
          <w:color w:val="00000A"/>
        </w:rPr>
        <w:t xml:space="preserve">. </w:t>
      </w:r>
      <w:r>
        <w:rPr>
          <w:rFonts w:eastAsia="Times New Roman" w:cs="Calibri"/>
          <w:color w:val="000000"/>
        </w:rPr>
        <w:t>Patrz załącznik nr 8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 xml:space="preserve">                   Obiekt wyposażony jest w: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główny wyłącznik prądu,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system sygnalizacji alarmowo – pożarowej (SAP) i ręczne ostrzegacze pożaru (ROP)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instalację oświetlenia awaryjnego,</w:t>
      </w:r>
    </w:p>
    <w:p w:rsidR="00644304" w:rsidRDefault="00394146">
      <w:pPr>
        <w:spacing w:line="266" w:lineRule="exact"/>
        <w:rPr>
          <w:rFonts w:ascii="Calibri" w:hAnsi="Calibri"/>
        </w:rPr>
      </w:pPr>
      <w:proofErr w:type="gramStart"/>
      <w:r>
        <w:rPr>
          <w:rFonts w:eastAsia="Times New Roman" w:cs="Arial"/>
        </w:rPr>
        <w:t>-  gaśnice</w:t>
      </w:r>
      <w:proofErr w:type="gramEnd"/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hydranty wewnętrzne,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hydranty zewnętrzne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instalację odgromową w wykonaniu podstawowym.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>- znaki informacyjne ppoż.</w:t>
      </w:r>
    </w:p>
    <w:p w:rsidR="00644304" w:rsidRDefault="00644304">
      <w:pPr>
        <w:spacing w:line="266" w:lineRule="exact"/>
        <w:rPr>
          <w:rFonts w:ascii="Calibri" w:eastAsia="Times New Roman" w:hAnsi="Calibri" w:cs="Arial"/>
          <w:color w:val="548DD4"/>
        </w:rPr>
      </w:pP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  <w:b/>
        </w:rPr>
        <w:t>3.1 Główny wyłącznik prądu</w:t>
      </w:r>
      <w:r>
        <w:rPr>
          <w:rFonts w:eastAsia="Times New Roman" w:cs="Arial"/>
          <w:b/>
          <w:color w:val="000000"/>
        </w:rPr>
        <w:t xml:space="preserve"> </w:t>
      </w:r>
      <w:r>
        <w:rPr>
          <w:rFonts w:eastAsia="Times New Roman" w:cs="Arial"/>
          <w:color w:val="000000"/>
        </w:rPr>
        <w:t xml:space="preserve">znajduje się ukryty w piwnicy, </w:t>
      </w:r>
      <w:r>
        <w:rPr>
          <w:rFonts w:eastAsia="Times New Roman" w:cs="Arial"/>
        </w:rPr>
        <w:t>z od strony klatki schodowej A, al. Niepodległości. Wyłącznik zastępuje przeciwpożarowy wyłącznik prądu i znajduje się w miejscu niezgodnym z przepisami ppoż. Zostanie wykonany w czasie modernizacji obiektu. W korytarzach kondygnacji są wyłączniki sekcyjne. Obsługę wyłącznika wykonują osoby uprawnione I posiadające uprawnienia.</w:t>
      </w:r>
    </w:p>
    <w:p w:rsidR="00644304" w:rsidRDefault="00644304">
      <w:pPr>
        <w:spacing w:line="266" w:lineRule="exact"/>
        <w:rPr>
          <w:rFonts w:eastAsia="Times New Roman" w:cs="Arial"/>
        </w:rPr>
      </w:pPr>
    </w:p>
    <w:p w:rsidR="00644304" w:rsidRDefault="00394146">
      <w:pPr>
        <w:spacing w:line="266" w:lineRule="exact"/>
        <w:textAlignment w:val="baseline"/>
        <w:rPr>
          <w:rFonts w:ascii="Calibri" w:hAnsi="Calibri"/>
          <w:color w:val="000000"/>
        </w:rPr>
      </w:pPr>
      <w:r>
        <w:rPr>
          <w:b/>
          <w:color w:val="000000"/>
        </w:rPr>
        <w:t>3.2 System sygnalizacji alarmowo – pożarowej (SAP) i ręczne ostrzegacze pożaru</w:t>
      </w:r>
    </w:p>
    <w:p w:rsidR="00644304" w:rsidRDefault="00644304">
      <w:pPr>
        <w:spacing w:line="266" w:lineRule="exact"/>
        <w:rPr>
          <w:rFonts w:ascii="Calibri" w:eastAsia="Times New Roman" w:hAnsi="Calibri" w:cs="Arial"/>
          <w:b/>
        </w:rPr>
      </w:pPr>
    </w:p>
    <w:p w:rsidR="00644304" w:rsidRDefault="00394146">
      <w:pPr>
        <w:textAlignment w:val="baseline"/>
        <w:rPr>
          <w:rFonts w:ascii="Calibri" w:hAnsi="Calibri"/>
        </w:rPr>
      </w:pPr>
      <w:r>
        <w:t xml:space="preserve">System sygnalizacji alarmowo – pożarowej (SAP) obejmuje całą kubaturę obiektu Akademii Sztuki i został przejęty po uprzednim właścicielu. </w:t>
      </w:r>
      <w:r>
        <w:br/>
        <w:t xml:space="preserve">System SAP sprawny składa się z: centralki (w portierni), obwodów z czujkami optycznymi, sygnalizatorów dźwiękowych (w korytarzach) i przycisków tzw. ręcznych ostrzegaczy pożaru - ROP (w korytarzach). Czujki wykrywają zagrożenie. Po krótkim </w:t>
      </w:r>
      <w:proofErr w:type="gramStart"/>
      <w:r>
        <w:t>czasie  na</w:t>
      </w:r>
      <w:proofErr w:type="gramEnd"/>
      <w:r>
        <w:t xml:space="preserve"> rozpoznanie włączają sygnalizatory alarmowe  oznajmujące potrzebę ewakuacji. Sygnalizatory mogą być uruchomione przez ROP-y zasadnie użyte przez każdego użytkownika obiektu.  Stanowiska sygnalizatorów i przyciski ROP są oznakowane, zgodne z PN. </w:t>
      </w:r>
      <w:r>
        <w:rPr>
          <w:rFonts w:eastAsia="Arial"/>
          <w:lang w:eastAsia="ar-SA"/>
        </w:rPr>
        <w:t xml:space="preserve">Lokalizacja ręcznych ostrzegaczy pożarowych jest wskazana na rzutach kondygnacji </w:t>
      </w:r>
      <w:r>
        <w:rPr>
          <w:rFonts w:eastAsia="Arial"/>
          <w:color w:val="000000"/>
          <w:lang w:eastAsia="ar-SA"/>
        </w:rPr>
        <w:t>strona 12</w:t>
      </w:r>
      <w:r>
        <w:rPr>
          <w:rFonts w:eastAsia="Arial"/>
          <w:lang w:eastAsia="ar-SA"/>
        </w:rPr>
        <w:t xml:space="preserve"> instrukcji.</w:t>
      </w:r>
    </w:p>
    <w:p w:rsidR="00644304" w:rsidRDefault="00394146">
      <w:pPr>
        <w:spacing w:line="266" w:lineRule="exact"/>
        <w:rPr>
          <w:rFonts w:ascii="Calibri" w:hAnsi="Calibri"/>
        </w:rPr>
      </w:pPr>
      <w:r>
        <w:rPr>
          <w:rFonts w:eastAsia="Times New Roman" w:cs="Arial"/>
        </w:rPr>
        <w:t xml:space="preserve">Sekcja </w:t>
      </w:r>
      <w:proofErr w:type="spellStart"/>
      <w:r>
        <w:rPr>
          <w:rFonts w:eastAsia="Times New Roman" w:cs="Arial"/>
        </w:rPr>
        <w:t>IRiA</w:t>
      </w:r>
      <w:proofErr w:type="spellEnd"/>
      <w:r>
        <w:rPr>
          <w:rFonts w:eastAsia="Times New Roman" w:cs="Arial"/>
        </w:rPr>
        <w:t xml:space="preserve"> utrzymuje, nadzoruje system SAP i uzupełnia udokumentowanie</w:t>
      </w:r>
    </w:p>
    <w:p w:rsidR="00644304" w:rsidRDefault="00644304">
      <w:pPr>
        <w:spacing w:line="266" w:lineRule="exact"/>
        <w:rPr>
          <w:rFonts w:eastAsia="Times New Roman" w:cs="Arial"/>
        </w:rPr>
      </w:pPr>
    </w:p>
    <w:p w:rsidR="00644304" w:rsidRDefault="00394146">
      <w:pPr>
        <w:spacing w:line="266" w:lineRule="exact"/>
        <w:textAlignment w:val="baseline"/>
        <w:rPr>
          <w:rFonts w:ascii="Calibri" w:hAnsi="Calibri"/>
          <w:color w:val="000000"/>
        </w:rPr>
      </w:pPr>
      <w:r>
        <w:rPr>
          <w:b/>
          <w:color w:val="000000"/>
        </w:rPr>
        <w:t xml:space="preserve">3.3 Instalacja oświetlenia awaryjnego </w:t>
      </w:r>
    </w:p>
    <w:p w:rsidR="00644304" w:rsidRDefault="00644304">
      <w:pPr>
        <w:spacing w:line="266" w:lineRule="exact"/>
        <w:rPr>
          <w:rFonts w:ascii="Calibri" w:eastAsia="Times New Roman" w:hAnsi="Calibri" w:cs="Arial"/>
        </w:rPr>
      </w:pPr>
    </w:p>
    <w:p w:rsidR="00644304" w:rsidRDefault="00394146">
      <w:pPr>
        <w:spacing w:line="266" w:lineRule="exact"/>
        <w:rPr>
          <w:rFonts w:hint="eastAsia"/>
        </w:rPr>
      </w:pPr>
      <w:r>
        <w:rPr>
          <w:rFonts w:eastAsia="Times New Roman" w:cs="Arial"/>
        </w:rPr>
        <w:t>Na drogach ewakuacji, na których nie ma dostępu światła naturalnego, na korytarzach wewnętrznych,</w:t>
      </w:r>
      <w:r>
        <w:rPr>
          <w:rFonts w:eastAsia="Times New Roman" w:cs="Arial"/>
          <w:color w:val="FF0000"/>
        </w:rPr>
        <w:t xml:space="preserve"> </w:t>
      </w:r>
      <w:r>
        <w:rPr>
          <w:rFonts w:eastAsia="Times New Roman" w:cs="Arial"/>
          <w:color w:val="000000"/>
        </w:rPr>
        <w:t>w pionach klatek schodowych</w:t>
      </w:r>
      <w:r>
        <w:rPr>
          <w:rFonts w:eastAsia="Times New Roman" w:cs="Arial"/>
        </w:rPr>
        <w:t xml:space="preserve"> zgodnie z przepisami i PN są punkty światła awaryjnego z modułami (zasilania). Awaryjne oświetlenie ewakuacyjne posiada wymagane natężenie 5 lx.</w:t>
      </w:r>
      <w:r>
        <w:rPr>
          <w:rStyle w:val="FontStyle48"/>
          <w:rFonts w:asciiTheme="minorHAnsi" w:eastAsia="Times New Roman" w:hAnsiTheme="minorHAnsi"/>
          <w:sz w:val="22"/>
          <w:szCs w:val="22"/>
        </w:rPr>
        <w:t xml:space="preserve"> Oświetlenie awaryjne uruchamia się tylko po zaniku zasilania elektrycznego.</w:t>
      </w:r>
    </w:p>
    <w:p w:rsidR="00644304" w:rsidRDefault="00644304">
      <w:pPr>
        <w:spacing w:line="266" w:lineRule="exact"/>
        <w:rPr>
          <w:rStyle w:val="FontStyle48"/>
          <w:rFonts w:ascii="Calibri" w:eastAsia="Times New Roman" w:hAnsi="Calibri"/>
          <w:sz w:val="22"/>
          <w:szCs w:val="22"/>
        </w:rPr>
      </w:pPr>
    </w:p>
    <w:p w:rsidR="00644304" w:rsidRDefault="00644304">
      <w:pPr>
        <w:spacing w:line="266" w:lineRule="exact"/>
        <w:rPr>
          <w:rStyle w:val="FontStyle48"/>
          <w:rFonts w:ascii="Calibri" w:eastAsia="Times New Roman" w:hAnsi="Calibri"/>
          <w:sz w:val="22"/>
          <w:szCs w:val="22"/>
        </w:rPr>
      </w:pPr>
    </w:p>
    <w:p w:rsidR="00644304" w:rsidRDefault="00644304">
      <w:pPr>
        <w:spacing w:line="266" w:lineRule="exact"/>
        <w:rPr>
          <w:rFonts w:eastAsia="Times New Roman" w:cs="Arial"/>
        </w:rPr>
      </w:pPr>
    </w:p>
    <w:p w:rsidR="00644304" w:rsidRDefault="00644304">
      <w:pPr>
        <w:spacing w:before="19"/>
        <w:textAlignment w:val="baseline"/>
        <w:rPr>
          <w:rFonts w:cs="Arial" w:hint="eastAsia"/>
          <w:b/>
          <w:bCs/>
          <w:color w:val="000000"/>
        </w:rPr>
      </w:pPr>
    </w:p>
    <w:p w:rsidR="00644304" w:rsidRDefault="00394146">
      <w:pPr>
        <w:spacing w:before="19"/>
        <w:textAlignment w:val="baseline"/>
        <w:rPr>
          <w:rFonts w:ascii="Calibri" w:hAnsi="Calibri"/>
        </w:rPr>
      </w:pPr>
      <w:r>
        <w:rPr>
          <w:rFonts w:cs="Arial"/>
          <w:b/>
          <w:bCs/>
          <w:color w:val="000000"/>
        </w:rPr>
        <w:t xml:space="preserve">3.4 Gaśnice przenośne 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 xml:space="preserve">Zgodnie z przepisami ppoż. w budynku są gaśnice przenośne typu GP.6, </w:t>
      </w:r>
      <w:proofErr w:type="gramStart"/>
      <w:r>
        <w:rPr>
          <w:rFonts w:eastAsia="Times New Roman" w:cs="Arial"/>
          <w:bCs/>
          <w:color w:val="000000"/>
        </w:rPr>
        <w:t>w</w:t>
      </w:r>
      <w:proofErr w:type="gramEnd"/>
      <w:r>
        <w:rPr>
          <w:rFonts w:eastAsia="Times New Roman" w:cs="Arial"/>
          <w:bCs/>
          <w:color w:val="000000"/>
        </w:rPr>
        <w:t xml:space="preserve"> wymaganych odległościach I na oznakowanych stanowiskach. Położenia gaśnic są oznaczone na rzutach kondygnacji stanowiących załącznik do instrukcji. Łącznie w budynku są 22 gaśnice typu GP.6. 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>Użytkownik w rejonie swojego działania „utrzymuje gaśnice w gotowości" poprzez stwierdzenie: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>-</w:t>
      </w:r>
      <w:r>
        <w:rPr>
          <w:rFonts w:eastAsia="Times New Roman" w:cs="Arial"/>
          <w:bCs/>
          <w:color w:val="000000"/>
        </w:rPr>
        <w:tab/>
        <w:t>czy znajduje się na stanowisku oznakowanym, „swoim”,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>-</w:t>
      </w:r>
      <w:r>
        <w:rPr>
          <w:rFonts w:eastAsia="Times New Roman" w:cs="Arial"/>
          <w:bCs/>
          <w:color w:val="000000"/>
        </w:rPr>
        <w:tab/>
        <w:t>czy nie jest zastawiona,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>-</w:t>
      </w:r>
      <w:r>
        <w:rPr>
          <w:rFonts w:eastAsia="Times New Roman" w:cs="Arial"/>
          <w:bCs/>
          <w:color w:val="000000"/>
        </w:rPr>
        <w:tab/>
        <w:t>czy nie jest w sposób widoczny uszkodzona,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>-</w:t>
      </w:r>
      <w:r>
        <w:rPr>
          <w:rFonts w:eastAsia="Times New Roman" w:cs="Arial"/>
          <w:bCs/>
          <w:color w:val="000000"/>
        </w:rPr>
        <w:tab/>
        <w:t>czy ma dobre plomby i wskaźniki (ciśnieniomierza)</w:t>
      </w:r>
    </w:p>
    <w:p w:rsidR="00644304" w:rsidRDefault="00394146">
      <w:pPr>
        <w:spacing w:before="19" w:line="310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 xml:space="preserve">                  Sposób użycia gaśnicy jest zazwyczaj opisany na etykiecie. Ze sposobem użycia gaśnicy użytkownicy budynku mogą zapoznać się praktycznie w czasie szkoleń. Gaśnice używamy w położeniu takim, aby zawór butli był wyżej niż dno butli. W czasie użycia nie można odwracać gaśnicy dnem do góry. Zastrzeżenia te wynikają z budowy gaśnicy, która jest urządzeniem syfonowym. W czasie użycia gaśnicy z wężykiem – wąż musi być trzymamy, aby jego ruchy wywołane ciśnieniem nie zaprószyły nam oczu proszkiem.</w:t>
      </w:r>
    </w:p>
    <w:p w:rsidR="00644304" w:rsidRDefault="00394146">
      <w:pPr>
        <w:spacing w:before="19" w:line="266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 xml:space="preserve">                  Zgłoszenia o usterkach gaśnic przyjmuje administrator budynku (sekcja </w:t>
      </w:r>
      <w:proofErr w:type="spellStart"/>
      <w:r>
        <w:rPr>
          <w:rFonts w:eastAsia="Times New Roman" w:cs="Arial"/>
          <w:bCs/>
          <w:color w:val="000000"/>
        </w:rPr>
        <w:t>IRiA</w:t>
      </w:r>
      <w:proofErr w:type="spellEnd"/>
      <w:r>
        <w:rPr>
          <w:rFonts w:eastAsia="Times New Roman" w:cs="Arial"/>
          <w:bCs/>
          <w:color w:val="000000"/>
        </w:rPr>
        <w:t>) albo portier</w:t>
      </w:r>
    </w:p>
    <w:p w:rsidR="00644304" w:rsidRDefault="00644304">
      <w:pPr>
        <w:spacing w:before="19" w:line="266" w:lineRule="exact"/>
        <w:rPr>
          <w:rFonts w:eastAsia="Times New Roman" w:cs="Arial"/>
          <w:bCs/>
          <w:color w:val="000000"/>
        </w:rPr>
      </w:pPr>
    </w:p>
    <w:p w:rsidR="00644304" w:rsidRDefault="00394146">
      <w:pPr>
        <w:spacing w:before="19" w:line="266" w:lineRule="exact"/>
        <w:rPr>
          <w:rFonts w:ascii="Calibri" w:hAnsi="Calibri"/>
        </w:rPr>
      </w:pPr>
      <w:r>
        <w:rPr>
          <w:rFonts w:eastAsia="Times New Roman" w:cs="Arial"/>
          <w:bCs/>
          <w:color w:val="000000"/>
        </w:rPr>
        <w:t xml:space="preserve"> </w:t>
      </w:r>
      <w:r>
        <w:rPr>
          <w:rFonts w:eastAsia="Times New Roman" w:cs="Arial"/>
          <w:b/>
          <w:bCs/>
          <w:color w:val="000000"/>
        </w:rPr>
        <w:t>3.5 Sieć hydrantów wewnętrznych</w:t>
      </w:r>
    </w:p>
    <w:p w:rsidR="00644304" w:rsidRDefault="00644304">
      <w:pPr>
        <w:spacing w:before="19" w:line="266" w:lineRule="exact"/>
        <w:jc w:val="center"/>
        <w:rPr>
          <w:rFonts w:ascii="Arial" w:eastAsia="Times New Roman" w:hAnsi="Arial" w:cs="Arial"/>
          <w:sz w:val="24"/>
        </w:rPr>
      </w:pPr>
    </w:p>
    <w:p w:rsidR="00644304" w:rsidRDefault="00394146">
      <w:pPr>
        <w:textAlignment w:val="baseline"/>
        <w:rPr>
          <w:rFonts w:ascii="Calibri" w:hAnsi="Calibri"/>
        </w:rPr>
      </w:pPr>
      <w:r>
        <w:rPr>
          <w:color w:val="000000"/>
        </w:rPr>
        <w:t>Budynek wyposażony jest w wewnętrzną instalację hydratową zakończona zaworami ǿ25 z</w:t>
      </w:r>
    </w:p>
    <w:p w:rsidR="00644304" w:rsidRDefault="00394146">
      <w:pPr>
        <w:spacing w:before="19"/>
        <w:rPr>
          <w:rFonts w:ascii="Calibri" w:hAnsi="Calibri"/>
        </w:rPr>
      </w:pPr>
      <w:proofErr w:type="gramStart"/>
      <w:r>
        <w:rPr>
          <w:color w:val="000000"/>
        </w:rPr>
        <w:t>prądownicą</w:t>
      </w:r>
      <w:proofErr w:type="gramEnd"/>
      <w:r>
        <w:rPr>
          <w:color w:val="000000"/>
        </w:rPr>
        <w:t xml:space="preserve"> i wężem płasko-składanym o dł. 25m. Szafki hydrantowe, wnękowe, są w korytarzach, w trzech pionach (9 szt.)</w:t>
      </w:r>
      <w:r>
        <w:rPr>
          <w:rFonts w:cs="Arial"/>
          <w:color w:val="000000"/>
        </w:rPr>
        <w:t xml:space="preserve"> Szafka jest zamknięta. W razie potrzeby klucz znajdujemy na drzwiach za małą szybką, którą należy usunąć.  Instalacja hydrantowa jest zasilana z sieci wodociągów miejskich i ma niskie ciśnienie oraz mały wydatek wody. Hydranty są na oznaczonych stanowiskach i</w:t>
      </w:r>
      <w:r>
        <w:rPr>
          <w:color w:val="000000"/>
        </w:rPr>
        <w:t xml:space="preserve"> zaznaczone na rzutach kondygnacji.</w:t>
      </w:r>
    </w:p>
    <w:p w:rsidR="00644304" w:rsidRDefault="00394146">
      <w:pPr>
        <w:spacing w:before="19"/>
        <w:rPr>
          <w:rFonts w:ascii="Calibri" w:hAnsi="Calibri"/>
        </w:rPr>
      </w:pPr>
      <w:r>
        <w:rPr>
          <w:rFonts w:eastAsia="Times New Roman" w:cs="Arial"/>
        </w:rPr>
        <w:t>Zawór główny wody (oznakowany) jest w piwnicy, i jest zaznaczony na załączonym rzucie (planie obiektu).</w:t>
      </w:r>
    </w:p>
    <w:p w:rsidR="00644304" w:rsidRDefault="00394146">
      <w:pPr>
        <w:spacing w:before="19"/>
        <w:rPr>
          <w:rFonts w:hint="eastAsia"/>
        </w:rPr>
      </w:pPr>
      <w:r>
        <w:rPr>
          <w:rFonts w:eastAsia="Times New Roman" w:cs="Arial"/>
        </w:rPr>
        <w:t xml:space="preserve">Obsługa wymaga dwóch osób i wykonania kolejnych czynności: 1) rozwinięcie węża, 2) otwarcie zaworu hydrantu, 3) skierowanie prądownicy w stronę pożaru i otwarcie prądownicy ze skierowaniem strumienia wody w kierunku pożaru. Obsługa hydrantu wymaga przygotowania w formie ćwiczeń. Hydranty </w:t>
      </w:r>
      <w:proofErr w:type="spellStart"/>
      <w:r>
        <w:rPr>
          <w:rFonts w:eastAsia="Times New Roman" w:cs="Arial"/>
        </w:rPr>
        <w:t>wewn</w:t>
      </w:r>
      <w:proofErr w:type="spellEnd"/>
      <w:r>
        <w:rPr>
          <w:rFonts w:eastAsia="Times New Roman" w:cs="Arial"/>
        </w:rPr>
        <w:t xml:space="preserve">. </w:t>
      </w:r>
      <w:proofErr w:type="gramStart"/>
      <w:r>
        <w:rPr>
          <w:rFonts w:eastAsia="Times New Roman" w:cs="Arial"/>
        </w:rPr>
        <w:t>należą</w:t>
      </w:r>
      <w:proofErr w:type="gramEnd"/>
      <w:r>
        <w:rPr>
          <w:rFonts w:eastAsia="Times New Roman" w:cs="Arial"/>
        </w:rPr>
        <w:t xml:space="preserve"> do urządzeń podręcznych; w czasie akcji gaśniczej nie używają ich strażacy.</w:t>
      </w:r>
    </w:p>
    <w:p w:rsidR="00644304" w:rsidRDefault="00644304">
      <w:pPr>
        <w:spacing w:before="19"/>
        <w:rPr>
          <w:rFonts w:eastAsia="Times New Roman" w:cs="Arial"/>
        </w:rPr>
      </w:pPr>
    </w:p>
    <w:p w:rsidR="00644304" w:rsidRDefault="00394146">
      <w:pPr>
        <w:spacing w:before="19"/>
        <w:textAlignment w:val="baseline"/>
        <w:rPr>
          <w:rFonts w:ascii="Calibri" w:hAnsi="Calibri"/>
        </w:rPr>
      </w:pPr>
      <w:r>
        <w:rPr>
          <w:rFonts w:cs="Arial"/>
          <w:b/>
          <w:bCs/>
          <w:color w:val="000000"/>
        </w:rPr>
        <w:t>3.6 Sieć hydrantów zewnętrznych</w:t>
      </w:r>
    </w:p>
    <w:p w:rsidR="00644304" w:rsidRDefault="00394146">
      <w:pPr>
        <w:spacing w:before="115" w:line="266" w:lineRule="exact"/>
        <w:ind w:firstLine="691"/>
        <w:rPr>
          <w:rFonts w:hint="eastAsia"/>
        </w:rPr>
      </w:pPr>
      <w:r>
        <w:rPr>
          <w:rFonts w:eastAsia="Times New Roman" w:cs="Arial"/>
        </w:rPr>
        <w:t xml:space="preserve">Zaopatrzenie wodne do gaszenia pożarów zewnętrznych zapewniają hydranty nadziemne Ø 75, włączone do wodociągów ulicznych. Najbliższy uliczny hydrant nadziemny jest na granicy działki AS i CHU "Kaskada". Hydranty zewnętrzne są do zachowania ciągłości podawania wody przez Państwową Straż Pożarną. Lokalizacja hydrantów jest zaznaczona w załączonym do IBP szkicu (planie obrony). Utrzymanie stanu hydrantów i skuteczności ich działania leży w obowiązkach ZW i K Szczecin. Sekcja </w:t>
      </w:r>
      <w:proofErr w:type="spellStart"/>
      <w:proofErr w:type="gramStart"/>
      <w:r>
        <w:rPr>
          <w:rFonts w:eastAsia="Times New Roman" w:cs="Arial"/>
        </w:rPr>
        <w:t>IRiA</w:t>
      </w:r>
      <w:proofErr w:type="spellEnd"/>
      <w:r>
        <w:rPr>
          <w:rFonts w:eastAsia="Times New Roman" w:cs="Arial"/>
        </w:rPr>
        <w:t xml:space="preserve">  może</w:t>
      </w:r>
      <w:proofErr w:type="gramEnd"/>
      <w:r>
        <w:rPr>
          <w:rFonts w:eastAsia="Times New Roman" w:cs="Arial"/>
        </w:rPr>
        <w:t xml:space="preserve"> </w:t>
      </w:r>
      <w:proofErr w:type="spellStart"/>
      <w:r>
        <w:rPr>
          <w:rFonts w:eastAsia="Times New Roman" w:cs="Arial"/>
        </w:rPr>
        <w:t>występić</w:t>
      </w:r>
      <w:proofErr w:type="spellEnd"/>
      <w:r>
        <w:rPr>
          <w:rFonts w:eastAsia="Times New Roman" w:cs="Arial"/>
        </w:rPr>
        <w:t xml:space="preserve"> do ZW i K o kopię protokołu badania hydrantów i przypominać o terminie kolejnego badania stanu hydrantów.</w:t>
      </w:r>
    </w:p>
    <w:p w:rsidR="00644304" w:rsidRDefault="00644304">
      <w:pPr>
        <w:spacing w:before="19" w:line="240" w:lineRule="exact"/>
        <w:rPr>
          <w:rFonts w:eastAsia="Times New Roman" w:cs="Arial"/>
          <w:bCs/>
          <w:color w:val="000000"/>
        </w:rPr>
      </w:pPr>
    </w:p>
    <w:p w:rsidR="00644304" w:rsidRDefault="00394146">
      <w:pPr>
        <w:spacing w:line="240" w:lineRule="exact"/>
        <w:rPr>
          <w:rFonts w:ascii="Calibri" w:hAnsi="Calibri"/>
        </w:rPr>
      </w:pPr>
      <w:r>
        <w:rPr>
          <w:rFonts w:eastAsia="Times New Roman" w:cs="Arial"/>
          <w:b/>
          <w:color w:val="000000"/>
        </w:rPr>
        <w:t>3.7</w:t>
      </w:r>
      <w:r>
        <w:rPr>
          <w:rFonts w:eastAsia="Times New Roman" w:cs="Arial"/>
          <w:b/>
        </w:rPr>
        <w:t xml:space="preserve">  Instalacja odgromowa w wykonaniu podstawowym</w:t>
      </w:r>
    </w:p>
    <w:p w:rsidR="00644304" w:rsidRDefault="00644304">
      <w:pPr>
        <w:spacing w:line="240" w:lineRule="exact"/>
        <w:rPr>
          <w:rFonts w:ascii="Calibri" w:eastAsia="Times New Roman" w:hAnsi="Calibri" w:cs="Arial"/>
        </w:rPr>
      </w:pPr>
    </w:p>
    <w:p w:rsidR="00644304" w:rsidRDefault="00394146">
      <w:pPr>
        <w:spacing w:after="120"/>
        <w:textAlignment w:val="baseline"/>
        <w:rPr>
          <w:rFonts w:hint="eastAsia"/>
        </w:rPr>
      </w:pPr>
      <w:r>
        <w:t xml:space="preserve">Instalacja odgromowa w wykonaniu podstawowym, przejmuje </w:t>
      </w:r>
      <w:proofErr w:type="gramStart"/>
      <w:r>
        <w:t>wyładowania  atmosferyczne</w:t>
      </w:r>
      <w:proofErr w:type="gramEnd"/>
      <w:r>
        <w:t xml:space="preserve">. Budynek jest zlokalizowany w zwartej, średniowysokiej zabudowie i jest rzadko rażony na uderzeniami pioruna. Instalacja jest w dobrym stanie technicznym.  </w:t>
      </w:r>
    </w:p>
    <w:p w:rsidR="00644304" w:rsidRDefault="00644304">
      <w:pPr>
        <w:spacing w:after="120"/>
        <w:textAlignment w:val="baseline"/>
        <w:rPr>
          <w:rFonts w:eastAsia="Times New Roman" w:cs="Arial"/>
          <w:b/>
          <w:sz w:val="28"/>
          <w:szCs w:val="28"/>
        </w:rPr>
      </w:pPr>
    </w:p>
    <w:p w:rsidR="00644304" w:rsidRDefault="00394146">
      <w:pPr>
        <w:spacing w:line="240" w:lineRule="exact"/>
        <w:rPr>
          <w:rFonts w:hint="eastAsia"/>
        </w:rPr>
      </w:pPr>
      <w:r>
        <w:rPr>
          <w:rFonts w:eastAsia="Times New Roman" w:cs="Arial"/>
          <w:b/>
          <w:sz w:val="28"/>
          <w:szCs w:val="28"/>
        </w:rPr>
        <w:t xml:space="preserve"> </w:t>
      </w:r>
      <w:r>
        <w:rPr>
          <w:rFonts w:eastAsia="Times New Roman" w:cs="Arial"/>
          <w:b/>
          <w:color w:val="000000"/>
        </w:rPr>
        <w:t>3.8</w:t>
      </w:r>
      <w:r>
        <w:rPr>
          <w:rFonts w:eastAsia="Times New Roman" w:cs="Arial"/>
          <w:b/>
        </w:rPr>
        <w:t xml:space="preserve"> Znaki informacyjne: ochrony ppoż., ewakuacyjne, itp.</w:t>
      </w:r>
    </w:p>
    <w:p w:rsidR="00644304" w:rsidRDefault="00644304">
      <w:pPr>
        <w:spacing w:line="240" w:lineRule="exact"/>
        <w:jc w:val="center"/>
        <w:rPr>
          <w:rFonts w:ascii="Calibri" w:eastAsia="Times New Roman" w:hAnsi="Calibri" w:cs="Arial"/>
          <w:b/>
          <w:sz w:val="28"/>
          <w:szCs w:val="28"/>
        </w:rPr>
      </w:pPr>
    </w:p>
    <w:p w:rsidR="00644304" w:rsidRDefault="00394146">
      <w:pPr>
        <w:spacing w:line="240" w:lineRule="exact"/>
        <w:rPr>
          <w:rFonts w:ascii="Calibri" w:hAnsi="Calibri"/>
        </w:rPr>
      </w:pPr>
      <w:r>
        <w:rPr>
          <w:rFonts w:eastAsia="Times New Roman" w:cs="Arial"/>
        </w:rPr>
        <w:t xml:space="preserve">Znaki są zabezpieczeniem porządkowym i informacyjnym. Ustalają: </w:t>
      </w:r>
      <w:r>
        <w:rPr>
          <w:rFonts w:eastAsia="Times New Roman" w:cs="Arial"/>
        </w:rPr>
        <w:br/>
        <w:t>- stanowiska ważnych urządzeń i instalacji,</w:t>
      </w:r>
    </w:p>
    <w:p w:rsidR="00644304" w:rsidRDefault="00394146">
      <w:pPr>
        <w:spacing w:line="240" w:lineRule="exact"/>
        <w:rPr>
          <w:rFonts w:ascii="Calibri" w:hAnsi="Calibri"/>
        </w:rPr>
      </w:pPr>
      <w:r>
        <w:rPr>
          <w:rFonts w:eastAsia="Times New Roman" w:cs="Arial"/>
        </w:rPr>
        <w:t>- kierunek ewakuacji i przeszkody na drodze ewakuacji</w:t>
      </w:r>
    </w:p>
    <w:p w:rsidR="00644304" w:rsidRDefault="00394146">
      <w:pPr>
        <w:spacing w:line="240" w:lineRule="exact"/>
        <w:rPr>
          <w:rFonts w:ascii="Calibri" w:hAnsi="Calibri"/>
        </w:rPr>
      </w:pPr>
      <w:r>
        <w:rPr>
          <w:rFonts w:eastAsia="Times New Roman" w:cs="Arial"/>
        </w:rPr>
        <w:t>- miejsca uruchomienia zabezpieczeń specjalnych ppoż.</w:t>
      </w:r>
    </w:p>
    <w:p w:rsidR="00644304" w:rsidRDefault="00394146">
      <w:pPr>
        <w:spacing w:line="240" w:lineRule="exact"/>
        <w:rPr>
          <w:rFonts w:ascii="Calibri" w:hAnsi="Calibri"/>
        </w:rPr>
      </w:pPr>
      <w:r>
        <w:rPr>
          <w:rFonts w:eastAsia="Times New Roman" w:cs="Arial"/>
        </w:rPr>
        <w:t>- miejsce zbiórki do ewakuacji.</w:t>
      </w:r>
    </w:p>
    <w:p w:rsidR="00644304" w:rsidRDefault="00394146">
      <w:pPr>
        <w:spacing w:line="240" w:lineRule="exact"/>
        <w:rPr>
          <w:rFonts w:hint="eastAsia"/>
        </w:rPr>
      </w:pPr>
      <w:r>
        <w:rPr>
          <w:rFonts w:eastAsia="Times New Roman" w:cs="Arial"/>
        </w:rPr>
        <w:t>Znaki rozmieszczone w budynku są wykazane na załączonych rysunkach rzutów kondygnacji, są elementem rysunkowego planu ewakuacji ludzi z budynku.</w:t>
      </w:r>
    </w:p>
    <w:p w:rsidR="00644304" w:rsidRDefault="00644304">
      <w:pPr>
        <w:spacing w:line="240" w:lineRule="exact"/>
        <w:textAlignment w:val="baseline"/>
        <w:rPr>
          <w:rFonts w:ascii="Calibri" w:eastAsia="Times New Roman" w:hAnsi="Calibri" w:cs="Arial"/>
          <w:bCs/>
          <w:color w:val="000000"/>
          <w:sz w:val="20"/>
        </w:rPr>
      </w:pPr>
    </w:p>
    <w:p w:rsidR="00644304" w:rsidRDefault="00394146">
      <w:pPr>
        <w:textAlignment w:val="baseline"/>
        <w:rPr>
          <w:rFonts w:ascii="Calibri" w:hAnsi="Calibri"/>
        </w:rPr>
      </w:pPr>
      <w:r>
        <w:rPr>
          <w:rFonts w:eastAsia="Andale Sans UI" w:cs="Arial"/>
          <w:b/>
          <w:bCs/>
          <w:color w:val="000000"/>
          <w:sz w:val="28"/>
          <w:szCs w:val="28"/>
        </w:rPr>
        <w:t>4. ŹRÓDŁA POŻARU I DROGI JEGO ROZPRZESTRZENIANIA</w:t>
      </w:r>
    </w:p>
    <w:p w:rsidR="00644304" w:rsidRDefault="00644304">
      <w:pPr>
        <w:textAlignment w:val="baseline"/>
        <w:rPr>
          <w:rFonts w:ascii="Calibri" w:eastAsia="Andale Sans UI" w:hAnsi="Calibri" w:cs="Arial"/>
          <w:b/>
          <w:bCs/>
          <w:color w:val="000000"/>
          <w:sz w:val="28"/>
          <w:szCs w:val="28"/>
        </w:rPr>
      </w:pPr>
    </w:p>
    <w:p w:rsidR="00644304" w:rsidRDefault="00394146">
      <w:pPr>
        <w:ind w:firstLine="567"/>
        <w:textAlignment w:val="baseline"/>
        <w:rPr>
          <w:rFonts w:ascii="Calibri" w:hAnsi="Calibri"/>
        </w:rPr>
      </w:pPr>
      <w:r>
        <w:rPr>
          <w:rFonts w:eastAsia="Arial Unicode MS" w:cs="Tahoma"/>
          <w:color w:val="000000"/>
          <w:sz w:val="28"/>
          <w:szCs w:val="28"/>
        </w:rPr>
        <w:t xml:space="preserve"> </w:t>
      </w:r>
      <w:r>
        <w:rPr>
          <w:rFonts w:eastAsia="Times New Roman" w:cs="Arial"/>
          <w:color w:val="000000"/>
        </w:rPr>
        <w:t xml:space="preserve">Pożary w pomieszczeniach budynku mogą zaistnieć w wyniku: nieostrożności ludzi, </w:t>
      </w:r>
      <w:r>
        <w:rPr>
          <w:rFonts w:eastAsia="Arial Unicode MS" w:cs="Tahoma"/>
          <w:color w:val="000000"/>
        </w:rPr>
        <w:t xml:space="preserve">złego przygotowania fachowego oraz wad ukrytych w działaniu instalacji el. </w:t>
      </w:r>
      <w:proofErr w:type="gramStart"/>
      <w:r>
        <w:rPr>
          <w:rFonts w:eastAsia="Arial Unicode MS" w:cs="Tahoma"/>
          <w:color w:val="000000"/>
        </w:rPr>
        <w:t>i</w:t>
      </w:r>
      <w:proofErr w:type="gramEnd"/>
      <w:r>
        <w:rPr>
          <w:rFonts w:eastAsia="Arial Unicode MS" w:cs="Tahoma"/>
          <w:color w:val="000000"/>
        </w:rPr>
        <w:t xml:space="preserve"> urządzeń elektrycznych. </w:t>
      </w:r>
      <w:r>
        <w:rPr>
          <w:rFonts w:eastAsia="Arial Unicode MS" w:cs="Tahoma"/>
          <w:color w:val="000000"/>
        </w:rPr>
        <w:br/>
        <w:t>Konstrukcja budynku i zabezpieczenia specjalne ppoż. powodują, że pożar nie powinien przekroczyć strefy jednego pomieszczenia.</w:t>
      </w:r>
    </w:p>
    <w:p w:rsidR="00644304" w:rsidRDefault="00394146">
      <w:pPr>
        <w:ind w:firstLine="567"/>
        <w:textAlignment w:val="baseline"/>
        <w:rPr>
          <w:rFonts w:hint="eastAsia"/>
        </w:rPr>
      </w:pPr>
      <w:r>
        <w:rPr>
          <w:rFonts w:eastAsia="Arial Unicode MS" w:cs="Tahoma"/>
          <w:color w:val="000000"/>
        </w:rPr>
        <w:t>Z uwagi na istniejące warunki i bezpieczeństwo, zaistnienie pożaru zmusza do całkowitej ewakuacji ludzi z budynku</w:t>
      </w:r>
      <w:bookmarkStart w:id="1" w:name="_GoBack1"/>
      <w:bookmarkEnd w:id="1"/>
      <w:r>
        <w:rPr>
          <w:rFonts w:eastAsia="Arial Unicode MS" w:cs="Tahoma"/>
          <w:color w:val="000000"/>
        </w:rPr>
        <w:t>. Kierunek rozprzestrzeniania się dymu to najbardziej prawdopodobny kierunek rozprzestrzeniania się pożaru. Zadymienie pomieszczeń i dróg ewakuacyjnych stwarza większe niebezpieczeństwo dla ludzi niż sam pożar, dlatego w czasie alarmu wszyscy opuszczają budynek.</w:t>
      </w:r>
    </w:p>
    <w:p w:rsidR="00644304" w:rsidRDefault="00644304">
      <w:pPr>
        <w:ind w:firstLine="567"/>
        <w:textAlignment w:val="baseline"/>
        <w:rPr>
          <w:rFonts w:ascii="Calibri" w:eastAsia="Arial Unicode MS" w:hAnsi="Calibri" w:cs="Tahoma"/>
          <w:color w:val="000000"/>
        </w:rPr>
      </w:pPr>
    </w:p>
    <w:p w:rsidR="00644304" w:rsidRDefault="00394146">
      <w:pPr>
        <w:spacing w:line="274" w:lineRule="exact"/>
        <w:textAlignment w:val="baseline"/>
        <w:rPr>
          <w:rFonts w:ascii="Calibri" w:hAnsi="Calibri"/>
        </w:rPr>
      </w:pPr>
      <w:r>
        <w:rPr>
          <w:rFonts w:cs="Arial"/>
          <w:b/>
          <w:bCs/>
          <w:color w:val="000000"/>
          <w:sz w:val="28"/>
          <w:szCs w:val="28"/>
          <w:lang w:eastAsia="pl-PL"/>
        </w:rPr>
        <w:t>5. ZABEZPIECZENIE PRAC POŻAROWO NIEBEZPIECZNYCH</w:t>
      </w:r>
    </w:p>
    <w:p w:rsidR="00644304" w:rsidRDefault="00644304">
      <w:pPr>
        <w:spacing w:line="274" w:lineRule="exact"/>
        <w:jc w:val="both"/>
        <w:rPr>
          <w:rFonts w:ascii="Calibri" w:eastAsia="Times New Roman" w:hAnsi="Calibri" w:cs="Arial"/>
          <w:sz w:val="24"/>
        </w:rPr>
      </w:pPr>
    </w:p>
    <w:p w:rsidR="00644304" w:rsidRDefault="00394146">
      <w:pPr>
        <w:spacing w:line="274" w:lineRule="exact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 xml:space="preserve">Na terenie obiektu nie ma i nie przewiduje się wykonywania prac pożarowo niebezpiecznych. </w:t>
      </w:r>
      <w:r>
        <w:rPr>
          <w:rFonts w:eastAsia="Times New Roman" w:cs="Arial"/>
          <w:color w:val="000000"/>
          <w:lang w:eastAsia="pl-PL"/>
        </w:rPr>
        <w:br/>
        <w:t>W przypadku konieczności stosowania robót za pomocą otwartego ognia (np. spawanie, szlifowanie) wymagane jest wcześniejsze przygotowanie robót zgodnie z instrukcją prowadzenia robót, poprzez:</w:t>
      </w:r>
    </w:p>
    <w:p w:rsidR="00644304" w:rsidRDefault="00394146">
      <w:pPr>
        <w:numPr>
          <w:ilvl w:val="0"/>
          <w:numId w:val="3"/>
        </w:numPr>
        <w:spacing w:line="274" w:lineRule="exact"/>
        <w:textAlignment w:val="baseline"/>
        <w:rPr>
          <w:rFonts w:ascii="Calibri" w:hAnsi="Calibri"/>
        </w:rPr>
      </w:pPr>
      <w:proofErr w:type="gramStart"/>
      <w:r>
        <w:rPr>
          <w:rFonts w:eastAsia="Times New Roman" w:cs="Arial"/>
          <w:color w:val="000000"/>
          <w:lang w:eastAsia="pl-PL"/>
        </w:rPr>
        <w:t>sporządzenie</w:t>
      </w:r>
      <w:proofErr w:type="gramEnd"/>
      <w:r>
        <w:rPr>
          <w:rFonts w:eastAsia="Times New Roman" w:cs="Arial"/>
          <w:color w:val="000000"/>
          <w:lang w:eastAsia="pl-PL"/>
        </w:rPr>
        <w:t xml:space="preserve"> komisyjnego protokołu warunków wykonywania robót,</w:t>
      </w:r>
    </w:p>
    <w:p w:rsidR="00644304" w:rsidRDefault="00394146">
      <w:pPr>
        <w:numPr>
          <w:ilvl w:val="0"/>
          <w:numId w:val="3"/>
        </w:numPr>
        <w:spacing w:line="274" w:lineRule="exact"/>
        <w:textAlignment w:val="baseline"/>
        <w:rPr>
          <w:rFonts w:ascii="Calibri" w:hAnsi="Calibri"/>
        </w:rPr>
      </w:pPr>
      <w:proofErr w:type="gramStart"/>
      <w:r>
        <w:rPr>
          <w:rFonts w:eastAsia="Times New Roman" w:cs="Arial"/>
          <w:color w:val="000000"/>
          <w:lang w:eastAsia="pl-PL"/>
        </w:rPr>
        <w:t>uzyskanie</w:t>
      </w:r>
      <w:proofErr w:type="gramEnd"/>
      <w:r>
        <w:rPr>
          <w:rFonts w:eastAsia="Times New Roman" w:cs="Arial"/>
          <w:color w:val="000000"/>
          <w:lang w:eastAsia="pl-PL"/>
        </w:rPr>
        <w:t xml:space="preserve"> pisemnego zezwolenia Rektora lub Kanclerza.</w:t>
      </w:r>
    </w:p>
    <w:p w:rsidR="00644304" w:rsidRDefault="00394146">
      <w:pPr>
        <w:spacing w:line="274" w:lineRule="exact"/>
        <w:textAlignment w:val="baseline"/>
        <w:rPr>
          <w:rFonts w:hint="eastAsia"/>
        </w:rPr>
      </w:pPr>
      <w:r>
        <w:rPr>
          <w:rFonts w:eastAsia="Times New Roman" w:cs="Arial"/>
          <w:color w:val="000000"/>
          <w:lang w:eastAsia="pl-PL"/>
        </w:rPr>
        <w:t>Patrz załączniki: 4, 5, 6.</w:t>
      </w:r>
    </w:p>
    <w:p w:rsidR="00644304" w:rsidRDefault="00644304">
      <w:pPr>
        <w:spacing w:line="274" w:lineRule="exact"/>
        <w:textAlignment w:val="baseline"/>
        <w:rPr>
          <w:rFonts w:hint="eastAsia"/>
          <w:b/>
          <w:color w:val="00000A"/>
          <w:sz w:val="28"/>
          <w:szCs w:val="28"/>
        </w:rPr>
      </w:pPr>
    </w:p>
    <w:p w:rsidR="00644304" w:rsidRDefault="00394146">
      <w:pPr>
        <w:rPr>
          <w:rFonts w:ascii="Calibri" w:hAnsi="Calibri"/>
        </w:rPr>
      </w:pPr>
      <w:r>
        <w:rPr>
          <w:b/>
          <w:color w:val="00000A"/>
          <w:sz w:val="28"/>
          <w:szCs w:val="28"/>
        </w:rPr>
        <w:t>6. ZASADY ZAPOBIEGANIA MOŻLIWOŚCIOM POWSTANIA POŻARU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Użytkownicy obiektu Akademii Sztuki [AS] są zobowiązani do: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 xml:space="preserve">- zapewnienia warunków budowlanych, sprawnych instalacji i urządzeń; 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zapewnienia w użytkowanym budynku bezpieczeństwa ludzi;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spełniania wymagań obowiązujących przepisów;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-świadomego zaangażowania studentów i pracowników Uczeni w swoim zakresie w dążeniu do zapobiegania zagrożeniom ludzi, i do ciągłej poprawy bezpieczeństwa;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Podstawą realizacji są:</w:t>
      </w:r>
    </w:p>
    <w:p w:rsidR="00644304" w:rsidRDefault="00394146">
      <w:pPr>
        <w:rPr>
          <w:rFonts w:hint="eastAsia"/>
        </w:rPr>
      </w:pPr>
      <w:r>
        <w:rPr>
          <w:color w:val="00000A"/>
        </w:rPr>
        <w:t>- przestrzeganie instrukcji, procedur i przepisów przez pracowników i studentów,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przestrzeganie rozwiązań organizacyjnych i technicznych; umiejętność posługiwania się zabezpieczeniami urządzeniami, które występują na terenie budynku.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codzienna troska o bezpieczeństwo, zgłaszania wypadków, zgłaszania wniosków o poprawę bezpieczeństwa,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właściwa eksploatacja i funkcjonowanie instalacji, urządzeń i zabezpieczeń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koordynacja innych działań w powiązaniu z troską o bezpieczeństwo,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szkolenia pracowników, ćwiczenia w ewakuacji ludzi,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przeznaczanie środków na realizację przyjętego programu,</w:t>
      </w:r>
    </w:p>
    <w:p w:rsidR="00644304" w:rsidRDefault="00394146">
      <w:pPr>
        <w:rPr>
          <w:rFonts w:ascii="Calibri" w:hAnsi="Calibri"/>
        </w:rPr>
      </w:pPr>
      <w:r>
        <w:rPr>
          <w:color w:val="00000A"/>
        </w:rPr>
        <w:t>- bieżąca informacja o występujących zagrożeniach,</w:t>
      </w:r>
    </w:p>
    <w:p w:rsidR="00644304" w:rsidRDefault="00394146">
      <w:pPr>
        <w:spacing w:line="274" w:lineRule="exact"/>
        <w:textAlignment w:val="baseline"/>
        <w:rPr>
          <w:rFonts w:hint="eastAsia"/>
        </w:rPr>
      </w:pPr>
      <w:r>
        <w:rPr>
          <w:rFonts w:eastAsia="Times New Roman" w:cs="Arial"/>
          <w:color w:val="00000A"/>
          <w:lang w:eastAsia="pl-PL"/>
        </w:rPr>
        <w:t>- okresowe przeglądy programów zapobiegania awariom (zagrożeniom) – analizy.</w:t>
      </w:r>
    </w:p>
    <w:p w:rsidR="00644304" w:rsidRDefault="00644304">
      <w:pPr>
        <w:spacing w:line="274" w:lineRule="exact"/>
        <w:textAlignment w:val="baseline"/>
        <w:rPr>
          <w:rFonts w:ascii="Calibri" w:eastAsia="Times New Roman" w:hAnsi="Calibri" w:cs="Arial"/>
          <w:color w:val="00000A"/>
          <w:lang w:eastAsia="pl-PL"/>
        </w:rPr>
      </w:pPr>
    </w:p>
    <w:p w:rsidR="00644304" w:rsidRDefault="00644304">
      <w:pPr>
        <w:spacing w:line="274" w:lineRule="exact"/>
        <w:textAlignment w:val="baseline"/>
        <w:rPr>
          <w:rFonts w:eastAsia="Times New Roman" w:cs="Arial"/>
          <w:color w:val="00000A"/>
          <w:lang w:eastAsia="pl-PL"/>
        </w:rPr>
      </w:pPr>
    </w:p>
    <w:p w:rsidR="00644304" w:rsidRDefault="00394146">
      <w:pPr>
        <w:spacing w:line="274" w:lineRule="exact"/>
        <w:textAlignment w:val="baseline"/>
        <w:rPr>
          <w:rFonts w:ascii="Calibri" w:hAnsi="Calibri"/>
        </w:rPr>
      </w:pPr>
      <w:r>
        <w:rPr>
          <w:rFonts w:eastAsia="Times New Roman" w:cs="Arial"/>
          <w:b/>
          <w:color w:val="00000A"/>
          <w:sz w:val="28"/>
          <w:szCs w:val="28"/>
          <w:lang w:eastAsia="pl-PL"/>
        </w:rPr>
        <w:t>7. POSTĘPOWANIE NA WYPADEK POŻARU I INNEGO ZAGROŻENIA</w:t>
      </w:r>
    </w:p>
    <w:p w:rsidR="00644304" w:rsidRDefault="00644304">
      <w:pPr>
        <w:spacing w:line="274" w:lineRule="exact"/>
        <w:textAlignment w:val="baseline"/>
        <w:rPr>
          <w:rFonts w:eastAsia="Times New Roman" w:cs="Arial"/>
          <w:color w:val="00000A"/>
          <w:lang w:eastAsia="pl-PL"/>
        </w:rPr>
      </w:pPr>
    </w:p>
    <w:p w:rsidR="00644304" w:rsidRDefault="00394146">
      <w:pPr>
        <w:spacing w:line="274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 xml:space="preserve">W chwili zauważenia zagrożenia staramy się wykonać dostępne zadania: 1/ alarmować otoczenie; 2/ alarmować służby zewnętrzne (PSP); 3/ gasić pożar podręcznym sprzętem; 4/ pomagać w ewakuacji ludzi, i udać się w rejon ewakuacji. W grupach należy wcześniej dokonać rozdziału wymienionych czynności, które usprawnią wykonanie zadań. Samotny użytkownik wybiera kolejność czynności według swojej </w:t>
      </w:r>
      <w:proofErr w:type="spellStart"/>
      <w:r>
        <w:rPr>
          <w:rFonts w:eastAsia="Times New Roman" w:cs="Arial"/>
          <w:color w:val="000000"/>
          <w:lang w:eastAsia="pl-PL"/>
        </w:rPr>
        <w:t>wiedzy</w:t>
      </w:r>
      <w:proofErr w:type="gramStart"/>
      <w:r>
        <w:rPr>
          <w:rFonts w:eastAsia="Times New Roman" w:cs="Arial"/>
          <w:color w:val="000000"/>
          <w:lang w:eastAsia="pl-PL"/>
        </w:rPr>
        <w:t>,bez</w:t>
      </w:r>
      <w:proofErr w:type="spellEnd"/>
      <w:proofErr w:type="gramEnd"/>
      <w:r>
        <w:rPr>
          <w:rFonts w:eastAsia="Times New Roman" w:cs="Arial"/>
          <w:color w:val="000000"/>
          <w:lang w:eastAsia="pl-PL"/>
        </w:rPr>
        <w:t xml:space="preserve"> konsekwencji prawnych</w:t>
      </w:r>
      <w:r>
        <w:rPr>
          <w:rFonts w:eastAsia="Times New Roman" w:cs="Arial"/>
          <w:color w:val="00000A"/>
          <w:lang w:eastAsia="pl-PL"/>
        </w:rPr>
        <w:t xml:space="preserve">. Wiedza o możliwości postępowania jest </w:t>
      </w:r>
      <w:r>
        <w:rPr>
          <w:rFonts w:eastAsia="Times New Roman" w:cs="Arial"/>
          <w:color w:val="000000"/>
          <w:lang w:eastAsia="pl-PL"/>
        </w:rPr>
        <w:t>w</w:t>
      </w:r>
      <w:r>
        <w:rPr>
          <w:rFonts w:eastAsia="Times New Roman" w:cs="Arial"/>
          <w:color w:val="FF3333"/>
          <w:lang w:eastAsia="pl-PL"/>
        </w:rPr>
        <w:t xml:space="preserve"> </w:t>
      </w:r>
      <w:r>
        <w:rPr>
          <w:rFonts w:eastAsia="Times New Roman" w:cs="Arial"/>
          <w:color w:val="000000"/>
          <w:lang w:eastAsia="pl-PL"/>
        </w:rPr>
        <w:t>załączniku 12 i</w:t>
      </w:r>
      <w:r>
        <w:rPr>
          <w:rFonts w:eastAsia="Times New Roman" w:cs="Arial"/>
          <w:color w:val="FF3333"/>
          <w:lang w:eastAsia="pl-PL"/>
        </w:rPr>
        <w:t xml:space="preserve"> </w:t>
      </w:r>
      <w:r>
        <w:rPr>
          <w:rFonts w:eastAsia="Times New Roman" w:cs="Arial"/>
          <w:color w:val="000000"/>
          <w:lang w:eastAsia="pl-PL"/>
        </w:rPr>
        <w:t>zarządzeniu Rektora AS nr 38/2019 w sprawie sposobu postępowania w przypadkach zagrożeń …</w:t>
      </w:r>
    </w:p>
    <w:p w:rsidR="00644304" w:rsidRDefault="00644304">
      <w:pPr>
        <w:spacing w:line="274" w:lineRule="exact"/>
        <w:textAlignment w:val="baseline"/>
        <w:rPr>
          <w:rFonts w:eastAsia="Times New Roman" w:cs="Arial"/>
          <w:color w:val="000000"/>
          <w:lang w:eastAsia="pl-PL"/>
        </w:rPr>
      </w:pPr>
    </w:p>
    <w:p w:rsidR="00644304" w:rsidRDefault="00644304">
      <w:pPr>
        <w:spacing w:line="274" w:lineRule="exact"/>
        <w:textAlignment w:val="baseline"/>
        <w:rPr>
          <w:rFonts w:eastAsia="Times New Roman" w:cs="Arial"/>
          <w:color w:val="000000"/>
          <w:lang w:eastAsia="pl-PL"/>
        </w:rPr>
      </w:pPr>
    </w:p>
    <w:p w:rsidR="00644304" w:rsidRDefault="00394146">
      <w:pPr>
        <w:spacing w:before="34" w:line="266" w:lineRule="exact"/>
        <w:ind w:left="533" w:hanging="533"/>
        <w:textAlignment w:val="baseline"/>
        <w:rPr>
          <w:rFonts w:ascii="Calibri" w:hAnsi="Calibri"/>
        </w:rPr>
      </w:pPr>
      <w:r>
        <w:rPr>
          <w:rFonts w:eastAsia="Times New Roman" w:cs="Arial"/>
          <w:b/>
          <w:bCs/>
          <w:color w:val="000000"/>
          <w:sz w:val="28"/>
          <w:szCs w:val="28"/>
          <w:lang w:eastAsia="pl-PL"/>
        </w:rPr>
        <w:t>8.   EWAKUACJA LUDZI – warunki i organizacja</w:t>
      </w:r>
    </w:p>
    <w:p w:rsidR="00644304" w:rsidRDefault="00394146">
      <w:pPr>
        <w:spacing w:before="238" w:line="266" w:lineRule="exact"/>
        <w:ind w:firstLine="713"/>
        <w:jc w:val="both"/>
        <w:rPr>
          <w:rFonts w:ascii="Calibri" w:hAnsi="Calibri"/>
        </w:rPr>
      </w:pPr>
      <w:r>
        <w:rPr>
          <w:rFonts w:eastAsia="Times New Roman" w:cs="Arial"/>
          <w:color w:val="000000"/>
        </w:rPr>
        <w:t>Ewakuacji ludzi dokonuje się, gdy jest zagrożenie dla zdrowia, życia ludzkiego i przewiduje się taki bieg wydarzeń, które spowoduje to zagrożenie. Takie zagrożenie niesie ze sobą: pożar, zadymienie, ciepło, katastrofa budowlana, zatrucie, wybuch, akt terroru i inne.</w:t>
      </w:r>
    </w:p>
    <w:p w:rsidR="00644304" w:rsidRDefault="00394146">
      <w:pPr>
        <w:textAlignment w:val="baseline"/>
        <w:rPr>
          <w:rFonts w:ascii="Calibri" w:hAnsi="Calibri"/>
        </w:rPr>
      </w:pPr>
      <w:r>
        <w:rPr>
          <w:rFonts w:cs="Arial"/>
          <w:b/>
          <w:bCs/>
          <w:color w:val="000000"/>
        </w:rPr>
        <w:t xml:space="preserve">Decyzję o konieczności ewakuacji ludzi </w:t>
      </w:r>
      <w:r>
        <w:rPr>
          <w:rFonts w:cs="Arial"/>
          <w:color w:val="000000"/>
        </w:rPr>
        <w:t xml:space="preserve">i </w:t>
      </w:r>
      <w:r>
        <w:rPr>
          <w:rFonts w:cs="Arial"/>
          <w:b/>
          <w:bCs/>
          <w:color w:val="000000"/>
        </w:rPr>
        <w:t>mienia spowodowanej wystąpieniem zagrożenia pożarowego podejmuje Kierujący Akcją Ewakuacji (KAE) obecny w budynku dziekan wydziału lub inna upoważniona osoba,</w:t>
      </w:r>
      <w:r>
        <w:rPr>
          <w:rFonts w:cs="Arial"/>
          <w:color w:val="000000"/>
        </w:rPr>
        <w:t xml:space="preserve"> a</w:t>
      </w:r>
      <w:r>
        <w:rPr>
          <w:rFonts w:eastAsia="Times New Roman" w:cs="Arial"/>
          <w:bCs/>
        </w:rPr>
        <w:t xml:space="preserve"> za grupy studentów odpowiadają ich bezpośredni przełożeni. Przebywające w budynku inne osoby (współpracownicy, pracownicy administracyjni, goście, klienci, itp.) podporządkowują się osobom kierującym.  </w:t>
      </w:r>
    </w:p>
    <w:p w:rsidR="00644304" w:rsidRDefault="00394146">
      <w:pPr>
        <w:spacing w:before="108" w:line="266" w:lineRule="exact"/>
        <w:ind w:firstLine="713"/>
        <w:jc w:val="both"/>
        <w:rPr>
          <w:rFonts w:ascii="Calibri" w:hAnsi="Calibri"/>
        </w:rPr>
      </w:pPr>
      <w:r>
        <w:rPr>
          <w:rFonts w:eastAsia="Times New Roman" w:cs="Arial"/>
          <w:b/>
          <w:bCs/>
          <w:color w:val="000000"/>
        </w:rPr>
        <w:t>Warunki budowlane (wysoka i szeroka klatka schodowa) pozwalają na wyjście w rejon ewakuacji jednym kierunkiem, wyjściem A, na aleję Niepodległości. Wariant został wielokrotnie sprawdzony wyjściem wszystkich obecnych w krótkim czasie.</w:t>
      </w:r>
    </w:p>
    <w:p w:rsidR="00644304" w:rsidRDefault="00394146">
      <w:pPr>
        <w:spacing w:before="108" w:line="266" w:lineRule="exact"/>
        <w:ind w:firstLine="713"/>
        <w:jc w:val="both"/>
        <w:rPr>
          <w:rFonts w:hint="eastAsia"/>
        </w:rPr>
      </w:pPr>
      <w:r>
        <w:rPr>
          <w:rFonts w:eastAsia="Times New Roman" w:cs="Arial"/>
          <w:color w:val="000000"/>
        </w:rPr>
        <w:t>Szczególne okoliczności zmuszą KAE do zmiany kierunków ewakuacji ludzi i kolejności wychodzenia w rejon ewakuacji.</w:t>
      </w:r>
    </w:p>
    <w:p w:rsidR="00644304" w:rsidRDefault="00394146">
      <w:pPr>
        <w:spacing w:before="115" w:line="266" w:lineRule="exact"/>
        <w:ind w:firstLine="691"/>
        <w:jc w:val="both"/>
        <w:rPr>
          <w:rFonts w:ascii="Calibri" w:hAnsi="Calibri"/>
        </w:rPr>
      </w:pPr>
      <w:r>
        <w:rPr>
          <w:rFonts w:eastAsia="Times New Roman" w:cs="Arial"/>
          <w:color w:val="000000"/>
        </w:rPr>
        <w:t xml:space="preserve">O ile warunki nie zmuszają do ustalania kolejności wyjścia w pierwszej kolejności należy ewakuować ludzi, z rejonu bezpośredniego zagrożenia, a następnie z II-go piętra i </w:t>
      </w:r>
      <w:proofErr w:type="spellStart"/>
      <w:r>
        <w:rPr>
          <w:rFonts w:eastAsia="Times New Roman" w:cs="Arial"/>
          <w:color w:val="000000"/>
        </w:rPr>
        <w:t>I</w:t>
      </w:r>
      <w:proofErr w:type="spellEnd"/>
      <w:r>
        <w:rPr>
          <w:rFonts w:eastAsia="Times New Roman" w:cs="Arial"/>
          <w:color w:val="000000"/>
        </w:rPr>
        <w:t xml:space="preserve"> piętra (przekroczone są tam długości dróg ewakuacji). W sytuacji blokady drogi ewakuacyjnej należy, decyzją kierującego akcją ratowniczą, zmienić kierunek wyjścia. Ciągłość korytarzy pozwala na zmiany kierunków, obrazują to plany – </w:t>
      </w:r>
      <w:proofErr w:type="gramStart"/>
      <w:r>
        <w:rPr>
          <w:rFonts w:eastAsia="Times New Roman" w:cs="Arial"/>
          <w:color w:val="000000"/>
        </w:rPr>
        <w:t>rzuty  kondygnacji</w:t>
      </w:r>
      <w:proofErr w:type="gramEnd"/>
      <w:r>
        <w:rPr>
          <w:rFonts w:eastAsia="Times New Roman" w:cs="Arial"/>
          <w:color w:val="000000"/>
        </w:rPr>
        <w:t xml:space="preserve"> (patrz rzuty, str. 12).</w:t>
      </w:r>
    </w:p>
    <w:p w:rsidR="00644304" w:rsidRDefault="00394146">
      <w:pPr>
        <w:spacing w:before="108" w:line="266" w:lineRule="exact"/>
        <w:ind w:firstLine="706"/>
        <w:jc w:val="both"/>
        <w:rPr>
          <w:rFonts w:ascii="Calibri" w:hAnsi="Calibri"/>
        </w:rPr>
      </w:pPr>
      <w:r>
        <w:rPr>
          <w:rFonts w:eastAsia="Times New Roman" w:cs="Arial"/>
          <w:color w:val="000000"/>
        </w:rPr>
        <w:t>Podczas ewakuacji poruszamy się w kierunku, który przypominają nam znaki ewakuacyjne.</w:t>
      </w:r>
    </w:p>
    <w:p w:rsidR="00644304" w:rsidRDefault="00394146">
      <w:pPr>
        <w:spacing w:before="108" w:line="266" w:lineRule="exact"/>
        <w:ind w:firstLine="706"/>
        <w:jc w:val="both"/>
        <w:rPr>
          <w:rFonts w:ascii="Calibri" w:hAnsi="Calibri"/>
          <w:b/>
          <w:bCs/>
        </w:rPr>
      </w:pPr>
      <w:r>
        <w:rPr>
          <w:rFonts w:eastAsia="Times New Roman" w:cs="Arial"/>
          <w:b/>
          <w:bCs/>
          <w:color w:val="000000"/>
        </w:rPr>
        <w:t xml:space="preserve">8.1 Rejon ewakuacji (miejsce zbiórki do ewakuacji), oznakowany, znajduje się na rogu alei Niepodległości i ul. Bogurodzicy. </w:t>
      </w:r>
      <w:r>
        <w:rPr>
          <w:rFonts w:eastAsia="Times New Roman" w:cs="Arial"/>
          <w:color w:val="000000"/>
        </w:rPr>
        <w:t>Zliczenie się w rejonie ewakuacji jest formą pierwszej pomocy, gdyż wyklucza pozostawienie kogoś bez pomocy.</w:t>
      </w:r>
    </w:p>
    <w:p w:rsidR="00644304" w:rsidRDefault="00394146">
      <w:pPr>
        <w:spacing w:before="115" w:line="266" w:lineRule="exact"/>
        <w:ind w:firstLine="706"/>
        <w:jc w:val="both"/>
        <w:rPr>
          <w:rFonts w:ascii="Calibri" w:hAnsi="Calibri"/>
          <w:b/>
          <w:bCs/>
        </w:rPr>
      </w:pPr>
      <w:r>
        <w:rPr>
          <w:rFonts w:eastAsia="Times New Roman" w:cs="Arial"/>
          <w:b/>
          <w:color w:val="000000"/>
        </w:rPr>
        <w:t>8.2 Ewakuację mienia</w:t>
      </w:r>
      <w:r>
        <w:rPr>
          <w:rFonts w:eastAsia="Times New Roman" w:cs="Arial"/>
          <w:color w:val="000000"/>
        </w:rPr>
        <w:t xml:space="preserve"> należy prowadzić w miarę istniejących możliwości, dopiero po zapewnieniu bezpieczeństwa ludziom. Ewakuowane przedmioty wynosimy i ustawiamy tak, aby nie ulegały zniszczeniu i nie tarasowały dróg ewakuacji i przejazdów. Miejsce składowania zabezpieczamy przed: ogniem, zalaniem wodą i przed kradzieżą. Rezygnujemy z wynoszenia przedmiotów bardzo ciężkich i wielkich, aby nie dorowadzić do wypadku </w:t>
      </w:r>
      <w:r>
        <w:rPr>
          <w:rFonts w:eastAsia="Times New Roman" w:cs="Arial"/>
          <w:bCs/>
          <w:iCs/>
          <w:color w:val="000000"/>
        </w:rPr>
        <w:t>z</w:t>
      </w:r>
      <w:r>
        <w:rPr>
          <w:rFonts w:eastAsia="Times New Roman" w:cs="Arial"/>
          <w:b/>
          <w:bCs/>
          <w:i/>
          <w:iCs/>
          <w:color w:val="000000"/>
        </w:rPr>
        <w:t xml:space="preserve"> </w:t>
      </w:r>
      <w:r>
        <w:rPr>
          <w:rFonts w:eastAsia="Times New Roman" w:cs="Arial"/>
          <w:color w:val="000000"/>
        </w:rPr>
        <w:t>ludźmi.</w:t>
      </w:r>
    </w:p>
    <w:p w:rsidR="00644304" w:rsidRDefault="00394146">
      <w:pPr>
        <w:spacing w:before="115" w:line="266" w:lineRule="exact"/>
        <w:ind w:firstLine="706"/>
        <w:jc w:val="both"/>
        <w:rPr>
          <w:rFonts w:ascii="Calibri" w:hAnsi="Calibri"/>
          <w:b/>
          <w:bCs/>
        </w:rPr>
      </w:pPr>
      <w:r>
        <w:rPr>
          <w:rFonts w:eastAsia="Times New Roman" w:cs="Arial"/>
          <w:b/>
          <w:bCs/>
          <w:color w:val="000000"/>
        </w:rPr>
        <w:t>8.3 Cel ćwiczeń ewakuacji</w:t>
      </w:r>
    </w:p>
    <w:p w:rsidR="00644304" w:rsidRDefault="00394146">
      <w:pPr>
        <w:spacing w:before="115" w:line="266" w:lineRule="exact"/>
        <w:ind w:left="680"/>
        <w:rPr>
          <w:rFonts w:ascii="Calibri" w:hAnsi="Calibri"/>
          <w:b/>
          <w:bCs/>
        </w:rPr>
      </w:pPr>
      <w:r>
        <w:rPr>
          <w:rFonts w:eastAsia="Times New Roman" w:cs="Arial"/>
          <w:color w:val="000000"/>
        </w:rPr>
        <w:t xml:space="preserve">1. Wykorzystanie istniejących warunków budowlanych I instalacyjnych </w:t>
      </w:r>
      <w:r>
        <w:rPr>
          <w:rFonts w:eastAsia="Times New Roman" w:cs="Arial"/>
          <w:color w:val="000000"/>
        </w:rPr>
        <w:br/>
        <w:t xml:space="preserve">2. Przypominanie osobom funkcyjnym o obowiązujących zadaniach </w:t>
      </w:r>
      <w:r>
        <w:rPr>
          <w:rFonts w:eastAsia="Times New Roman" w:cs="Arial"/>
          <w:color w:val="000000"/>
        </w:rPr>
        <w:br/>
        <w:t xml:space="preserve">3. Przypominanie użytkownikom o obowiązku wyjścia na sygnał alarmu </w:t>
      </w:r>
      <w:r>
        <w:rPr>
          <w:rFonts w:eastAsia="Times New Roman" w:cs="Arial"/>
          <w:color w:val="000000"/>
        </w:rPr>
        <w:br/>
        <w:t>4. Współpraca z Państwową Strażą Pożarną (PSP).</w:t>
      </w:r>
    </w:p>
    <w:p w:rsidR="00644304" w:rsidRDefault="00644304">
      <w:pPr>
        <w:spacing w:before="115" w:line="266" w:lineRule="exact"/>
        <w:ind w:firstLine="706"/>
        <w:jc w:val="both"/>
        <w:rPr>
          <w:rFonts w:eastAsia="Times New Roman" w:cs="Arial"/>
          <w:color w:val="000000"/>
        </w:rPr>
      </w:pPr>
    </w:p>
    <w:p w:rsidR="00644304" w:rsidRDefault="00644304">
      <w:pPr>
        <w:spacing w:before="115" w:line="266" w:lineRule="exact"/>
        <w:ind w:firstLine="706"/>
        <w:jc w:val="both"/>
        <w:rPr>
          <w:rFonts w:eastAsia="Times New Roman" w:cs="Arial"/>
          <w:color w:val="000000"/>
        </w:rPr>
      </w:pPr>
    </w:p>
    <w:p w:rsidR="00644304" w:rsidRDefault="00644304">
      <w:pPr>
        <w:spacing w:before="19" w:line="266" w:lineRule="exact"/>
        <w:ind w:left="624"/>
        <w:rPr>
          <w:rFonts w:eastAsia="Times New Roman" w:cs="Arial"/>
          <w:b/>
          <w:bCs/>
          <w:color w:val="000000"/>
          <w:sz w:val="24"/>
          <w:szCs w:val="20"/>
        </w:rPr>
      </w:pPr>
    </w:p>
    <w:p w:rsidR="00644304" w:rsidRDefault="00394146">
      <w:pPr>
        <w:spacing w:before="19" w:line="266" w:lineRule="exact"/>
        <w:ind w:left="624"/>
        <w:rPr>
          <w:rFonts w:hint="eastAsia"/>
        </w:rPr>
      </w:pPr>
      <w:r>
        <w:rPr>
          <w:rFonts w:eastAsia="Times New Roman" w:cs="Arial"/>
          <w:b/>
          <w:bCs/>
          <w:color w:val="000000"/>
          <w:sz w:val="24"/>
          <w:szCs w:val="20"/>
        </w:rPr>
        <w:t>8.4 Przygotowanie praktycznego sprawdzenia organizacji oraz warunków</w:t>
      </w:r>
      <w:r>
        <w:rPr>
          <w:rFonts w:eastAsia="Times New Roman" w:cs="Arial"/>
          <w:b/>
          <w:bCs/>
          <w:color w:val="000000"/>
          <w:sz w:val="24"/>
        </w:rPr>
        <w:t xml:space="preserve"> </w:t>
      </w:r>
      <w:r>
        <w:rPr>
          <w:rFonts w:eastAsia="Times New Roman" w:cs="Arial"/>
          <w:b/>
          <w:bCs/>
          <w:color w:val="000000"/>
          <w:sz w:val="24"/>
          <w:szCs w:val="20"/>
        </w:rPr>
        <w:t xml:space="preserve">ewakuacji </w:t>
      </w:r>
      <w:r>
        <w:rPr>
          <w:rFonts w:eastAsia="Times New Roman" w:cs="Arial"/>
          <w:color w:val="000000"/>
          <w:sz w:val="24"/>
          <w:szCs w:val="20"/>
        </w:rPr>
        <w:br/>
      </w:r>
    </w:p>
    <w:p w:rsidR="00644304" w:rsidRDefault="00394146">
      <w:pPr>
        <w:spacing w:before="19" w:line="266" w:lineRule="exact"/>
        <w:ind w:left="624"/>
        <w:rPr>
          <w:rFonts w:ascii="Calibri" w:hAnsi="Calibri"/>
        </w:rPr>
      </w:pPr>
      <w:r>
        <w:rPr>
          <w:rFonts w:eastAsia="Times New Roman" w:cs="Arial"/>
          <w:color w:val="000000"/>
          <w:sz w:val="24"/>
          <w:szCs w:val="20"/>
        </w:rPr>
        <w:t>1. Ustalenie koordynatora ćwiczenia I funkcyjnych na czas ćwiczenia</w:t>
      </w:r>
    </w:p>
    <w:p w:rsidR="00644304" w:rsidRDefault="00394146">
      <w:pPr>
        <w:spacing w:before="19" w:line="266" w:lineRule="exact"/>
        <w:ind w:left="624"/>
        <w:rPr>
          <w:rFonts w:ascii="Calibri" w:hAnsi="Calibri"/>
        </w:rPr>
      </w:pPr>
      <w:r>
        <w:rPr>
          <w:rFonts w:eastAsia="Times New Roman" w:cs="Arial"/>
          <w:color w:val="000000"/>
          <w:sz w:val="24"/>
          <w:szCs w:val="20"/>
        </w:rPr>
        <w:t xml:space="preserve">2. Przygotowanie akcesoriów na czas ćwiczeń przez sekcję </w:t>
      </w:r>
      <w:proofErr w:type="spellStart"/>
      <w:r>
        <w:rPr>
          <w:rFonts w:eastAsia="Times New Roman" w:cs="Arial"/>
          <w:color w:val="000000"/>
          <w:sz w:val="24"/>
          <w:szCs w:val="20"/>
        </w:rPr>
        <w:t>IRiA</w:t>
      </w:r>
      <w:proofErr w:type="spellEnd"/>
    </w:p>
    <w:p w:rsidR="00644304" w:rsidRDefault="00394146">
      <w:pPr>
        <w:spacing w:before="19" w:line="266" w:lineRule="exact"/>
        <w:ind w:left="624"/>
        <w:rPr>
          <w:rFonts w:hint="eastAsia"/>
        </w:rPr>
      </w:pPr>
      <w:r>
        <w:rPr>
          <w:rFonts w:eastAsia="Times New Roman" w:cs="Arial"/>
          <w:color w:val="000000"/>
          <w:sz w:val="24"/>
          <w:szCs w:val="20"/>
        </w:rPr>
        <w:t>3. Zaplanowanie terminu I wydanie zarządzenia Rektora AS</w:t>
      </w:r>
    </w:p>
    <w:p w:rsidR="00644304" w:rsidRDefault="00394146">
      <w:pPr>
        <w:spacing w:before="19" w:line="266" w:lineRule="exact"/>
        <w:ind w:left="624"/>
        <w:rPr>
          <w:rFonts w:hint="eastAsia"/>
        </w:rPr>
      </w:pPr>
      <w:r>
        <w:rPr>
          <w:rFonts w:eastAsia="Times New Roman" w:cs="Arial"/>
          <w:color w:val="000000"/>
          <w:sz w:val="24"/>
          <w:szCs w:val="20"/>
        </w:rPr>
        <w:t>4. Powiadomienie Komendanta Miejskiego PSP o terminie ćwiczenia.</w:t>
      </w:r>
    </w:p>
    <w:p w:rsidR="00644304" w:rsidRDefault="00644304">
      <w:pPr>
        <w:spacing w:before="19" w:line="266" w:lineRule="exact"/>
        <w:ind w:left="624"/>
        <w:rPr>
          <w:rFonts w:eastAsia="Times New Roman" w:cs="Arial"/>
          <w:color w:val="000000"/>
          <w:sz w:val="24"/>
          <w:szCs w:val="20"/>
        </w:rPr>
      </w:pPr>
    </w:p>
    <w:p w:rsidR="00644304" w:rsidRDefault="00394146">
      <w:pPr>
        <w:tabs>
          <w:tab w:val="left" w:pos="461"/>
        </w:tabs>
        <w:spacing w:before="19" w:line="266" w:lineRule="exact"/>
        <w:ind w:left="624"/>
        <w:rPr>
          <w:rFonts w:hint="eastAsia"/>
          <w:b/>
          <w:bCs/>
        </w:rPr>
      </w:pPr>
      <w:r>
        <w:rPr>
          <w:rFonts w:eastAsia="Times New Roman" w:cs="Arial"/>
          <w:b/>
          <w:bCs/>
          <w:color w:val="000000"/>
          <w:sz w:val="24"/>
          <w:szCs w:val="20"/>
        </w:rPr>
        <w:t>8.5 Etapy ćwiczenia ewakuacji</w:t>
      </w:r>
    </w:p>
    <w:p w:rsidR="00644304" w:rsidRDefault="00644304">
      <w:pPr>
        <w:spacing w:before="19" w:line="266" w:lineRule="exact"/>
        <w:ind w:left="624"/>
        <w:rPr>
          <w:rFonts w:eastAsia="Times New Roman" w:cs="Arial"/>
          <w:color w:val="000000"/>
          <w:sz w:val="24"/>
          <w:szCs w:val="20"/>
        </w:rPr>
      </w:pPr>
    </w:p>
    <w:p w:rsidR="00644304" w:rsidRDefault="00394146">
      <w:pPr>
        <w:spacing w:before="26" w:line="259" w:lineRule="exact"/>
        <w:ind w:left="624"/>
        <w:rPr>
          <w:rFonts w:hint="eastAsia"/>
        </w:rPr>
      </w:pPr>
      <w:r>
        <w:rPr>
          <w:rFonts w:eastAsia="Times New Roman" w:cs="Arial"/>
          <w:color w:val="000000"/>
        </w:rPr>
        <w:t xml:space="preserve">Etap </w:t>
      </w:r>
      <w:proofErr w:type="gramStart"/>
      <w:r>
        <w:rPr>
          <w:rFonts w:eastAsia="Times New Roman" w:cs="Arial"/>
          <w:color w:val="000000"/>
        </w:rPr>
        <w:t>I –  rozmieszczenie</w:t>
      </w:r>
      <w:proofErr w:type="gramEnd"/>
      <w:r>
        <w:rPr>
          <w:rFonts w:eastAsia="Times New Roman" w:cs="Arial"/>
          <w:color w:val="000000"/>
        </w:rPr>
        <w:t xml:space="preserve"> wyznaczonych osób funkcyjnych, przygotowanie środków pozoracji;</w:t>
      </w:r>
    </w:p>
    <w:p w:rsidR="00644304" w:rsidRDefault="00394146">
      <w:pPr>
        <w:spacing w:before="122" w:line="259" w:lineRule="exact"/>
        <w:ind w:left="624"/>
        <w:rPr>
          <w:rFonts w:hint="eastAsia"/>
        </w:rPr>
      </w:pPr>
      <w:r>
        <w:rPr>
          <w:rFonts w:eastAsia="Times New Roman" w:cs="Arial"/>
          <w:color w:val="000000"/>
        </w:rPr>
        <w:t xml:space="preserve">Etap II – stwierdzenie zagrożenia i ogłoszenie alarmu (za pomocą sygnału akustycznego (SAP) </w:t>
      </w:r>
      <w:proofErr w:type="gramStart"/>
      <w:r>
        <w:rPr>
          <w:rFonts w:eastAsia="Times New Roman" w:cs="Arial"/>
          <w:color w:val="000000"/>
        </w:rPr>
        <w:t>lub  głosem</w:t>
      </w:r>
      <w:proofErr w:type="gramEnd"/>
      <w:r>
        <w:rPr>
          <w:rFonts w:eastAsia="Times New Roman" w:cs="Arial"/>
          <w:color w:val="000000"/>
        </w:rPr>
        <w:t xml:space="preserve"> gońca;</w:t>
      </w:r>
    </w:p>
    <w:p w:rsidR="00644304" w:rsidRDefault="00394146">
      <w:pPr>
        <w:spacing w:before="151" w:line="259" w:lineRule="exact"/>
        <w:ind w:left="624"/>
        <w:rPr>
          <w:rFonts w:hint="eastAsia"/>
        </w:rPr>
      </w:pPr>
      <w:r>
        <w:rPr>
          <w:rFonts w:eastAsia="Times New Roman" w:cs="Arial"/>
          <w:color w:val="000000"/>
        </w:rPr>
        <w:t xml:space="preserve">Etap III – pomiar czasu trwania ewakuacji (wyjścia na zewnątrz) do </w:t>
      </w:r>
      <w:r>
        <w:rPr>
          <w:rFonts w:eastAsia="Times New Roman" w:cs="Arial"/>
        </w:rPr>
        <w:t>rejonu ewakuacji; sprawdzenie pomieszczeń w celu zdyscyplinowania osób, które nie wzięły udziału w ewakuacji oraz ustalenia przyczyny takiego zachowania;</w:t>
      </w:r>
    </w:p>
    <w:p w:rsidR="00644304" w:rsidRDefault="00394146">
      <w:pPr>
        <w:spacing w:before="108" w:line="274" w:lineRule="exact"/>
        <w:ind w:left="624"/>
        <w:rPr>
          <w:rFonts w:hint="eastAsia"/>
        </w:rPr>
      </w:pPr>
      <w:r>
        <w:rPr>
          <w:rFonts w:eastAsia="Times New Roman" w:cs="Arial"/>
          <w:color w:val="000000"/>
        </w:rPr>
        <w:t>Etap IV – zakończenie ćwiczenia; podsumowanie i wnioski</w:t>
      </w:r>
    </w:p>
    <w:p w:rsidR="00644304" w:rsidRDefault="00394146">
      <w:pPr>
        <w:spacing w:before="230" w:line="266" w:lineRule="exact"/>
        <w:ind w:left="624"/>
        <w:textAlignment w:val="baseline"/>
        <w:rPr>
          <w:rFonts w:ascii="Calibri" w:eastAsia="Times New Roman" w:hAnsi="Calibri" w:cs="Arial"/>
          <w:sz w:val="24"/>
        </w:rPr>
      </w:pPr>
      <w:r>
        <w:rPr>
          <w:rFonts w:cs="Arial"/>
          <w:b/>
          <w:bCs/>
          <w:color w:val="000000"/>
          <w:sz w:val="24"/>
          <w:lang w:eastAsia="pl-PL"/>
        </w:rPr>
        <w:t>8.6 Ilość ludzi</w:t>
      </w:r>
    </w:p>
    <w:p w:rsidR="00644304" w:rsidRDefault="00394146">
      <w:pPr>
        <w:spacing w:before="230" w:line="266" w:lineRule="exact"/>
        <w:ind w:left="624"/>
        <w:textAlignment w:val="baseline"/>
        <w:rPr>
          <w:rFonts w:hint="eastAsia"/>
        </w:rPr>
      </w:pPr>
      <w:r>
        <w:rPr>
          <w:color w:val="000000"/>
          <w:sz w:val="24"/>
        </w:rPr>
        <w:t xml:space="preserve"> w</w:t>
      </w:r>
      <w:r>
        <w:rPr>
          <w:rFonts w:cs="Arial"/>
          <w:color w:val="000000"/>
          <w:sz w:val="24"/>
          <w:lang w:eastAsia="pl-PL"/>
        </w:rPr>
        <w:t xml:space="preserve"> godzinach od</w:t>
      </w:r>
      <w:proofErr w:type="gramStart"/>
      <w:r>
        <w:rPr>
          <w:rFonts w:cs="Arial"/>
          <w:color w:val="000000"/>
          <w:sz w:val="24"/>
          <w:lang w:eastAsia="pl-PL"/>
        </w:rPr>
        <w:t xml:space="preserve"> 8:00 do</w:t>
      </w:r>
      <w:proofErr w:type="gramEnd"/>
      <w:r>
        <w:rPr>
          <w:rFonts w:cs="Arial"/>
          <w:color w:val="000000"/>
          <w:sz w:val="24"/>
          <w:lang w:eastAsia="pl-PL"/>
        </w:rPr>
        <w:t xml:space="preserve"> 22:00 w sposób rotacyjny przebywa w budynku do 93 osób. Liczba obecnych w budynku jest zmienna i trudna do określania w danym momencie. Elementami sprawdzającymi są: pedagodzy prowadzący zajęcia, i zajęcia indywidualne studentów; szafka systemu SAIK do pobierania i zdawania kluczy oraz spostrzeżenia </w:t>
      </w:r>
      <w:r>
        <w:rPr>
          <w:rFonts w:cs="Arial"/>
          <w:color w:val="000000"/>
          <w:sz w:val="24"/>
          <w:lang w:eastAsia="pl-PL"/>
        </w:rPr>
        <w:br/>
        <w:t xml:space="preserve">i zapisy portiera. </w:t>
      </w:r>
      <w:r>
        <w:rPr>
          <w:rFonts w:cs="Arial"/>
          <w:color w:val="000000"/>
          <w:sz w:val="24"/>
          <w:lang w:eastAsia="pl-PL"/>
        </w:rPr>
        <w:br/>
        <w:t xml:space="preserve">W rejonie ewakuacji pedagodzy zobowiązani są do zgłaszania Kierującemu Akcją Ewakuacji stanu ilościowego. </w:t>
      </w:r>
    </w:p>
    <w:p w:rsidR="00644304" w:rsidRDefault="00394146">
      <w:pPr>
        <w:spacing w:before="230" w:line="266" w:lineRule="exact"/>
        <w:ind w:left="624"/>
        <w:textAlignment w:val="baseline"/>
        <w:rPr>
          <w:rFonts w:ascii="Calibri" w:hAnsi="Calibri"/>
        </w:rPr>
      </w:pPr>
      <w:r>
        <w:rPr>
          <w:b/>
          <w:bCs/>
          <w:sz w:val="24"/>
        </w:rPr>
        <w:t>8.7 Podsumowanie ćwiczenia ewakuacji ludzi - analiza i wnioski</w:t>
      </w:r>
    </w:p>
    <w:p w:rsidR="00644304" w:rsidRDefault="00394146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  <w:r>
        <w:t>Kierujący akcją ewakuacji w rejonie ewakuacji ocenia przebieg ćwiczenia. Zbiera wnioski i oceny funkcyjnych na wybranych odcinkach ćwiczenia. Notuje uwagi uczestników ćwiczenia. Wnioski należy wykorzystać do poprawy zabezpieczeń oraz organizacji ewakuacji. Osoby częściej szkolone i uczestniczące w ćwiczeniach praktycznych, podejmą właściwe i skuteczne działania w czasie rzeczywistych zagrożeń, uratują siebie i udzielą pomocy innym osobom.</w:t>
      </w:r>
      <w:r>
        <w:br/>
      </w:r>
      <w:r>
        <w:rPr>
          <w:color w:val="000000"/>
        </w:rPr>
        <w:t>Dokumentację ćwiczeń ewakuacji ludzi należy przetrzymywać razem z Instrukcją Bezpieczeństwa Pożarowego.</w:t>
      </w:r>
    </w:p>
    <w:p w:rsidR="00644304" w:rsidRDefault="00644304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</w:p>
    <w:p w:rsidR="00644304" w:rsidRDefault="00644304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</w:p>
    <w:p w:rsidR="00644304" w:rsidRDefault="00644304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</w:p>
    <w:p w:rsidR="00644304" w:rsidRDefault="00644304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</w:p>
    <w:p w:rsidR="00644304" w:rsidRDefault="00644304">
      <w:pPr>
        <w:spacing w:before="230" w:line="266" w:lineRule="exact"/>
        <w:ind w:left="680"/>
        <w:textAlignment w:val="baseline"/>
        <w:rPr>
          <w:rFonts w:hint="eastAsia"/>
          <w:color w:val="000000"/>
        </w:rPr>
      </w:pPr>
    </w:p>
    <w:p w:rsidR="00644304" w:rsidRDefault="00394146">
      <w:pPr>
        <w:spacing w:before="230" w:line="266" w:lineRule="exact"/>
        <w:ind w:left="680"/>
        <w:textAlignment w:val="baseline"/>
        <w:rPr>
          <w:rFonts w:hint="eastAsia"/>
        </w:rPr>
      </w:pPr>
      <w:r>
        <w:rPr>
          <w:color w:val="000000"/>
        </w:rPr>
        <w:br/>
      </w:r>
    </w:p>
    <w:p w:rsidR="00644304" w:rsidRDefault="00394146">
      <w:pPr>
        <w:spacing w:line="266" w:lineRule="exact"/>
        <w:ind w:left="567" w:right="57"/>
        <w:rPr>
          <w:rFonts w:ascii="Calibri" w:hAnsi="Calibri"/>
          <w:sz w:val="28"/>
          <w:szCs w:val="28"/>
        </w:rPr>
      </w:pPr>
      <w:r>
        <w:rPr>
          <w:rFonts w:eastAsia="Times New Roman" w:cs="Arial"/>
          <w:b/>
          <w:bCs/>
          <w:color w:val="000000"/>
          <w:sz w:val="28"/>
          <w:szCs w:val="28"/>
          <w:lang w:eastAsia="pl-PL"/>
        </w:rPr>
        <w:t xml:space="preserve">9. Organizacja szkolenia pracowników i studentów Akademii Sztuki </w:t>
      </w:r>
      <w:r>
        <w:rPr>
          <w:rFonts w:eastAsia="Times New Roman" w:cs="Arial"/>
          <w:b/>
          <w:bCs/>
          <w:color w:val="000000"/>
          <w:sz w:val="28"/>
          <w:szCs w:val="28"/>
          <w:lang w:eastAsia="pl-PL"/>
        </w:rPr>
        <w:br/>
        <w:t>z zagadnień ochrony przeciwpożarowej i zapoznanie treścią instrukcji IBP</w:t>
      </w:r>
    </w:p>
    <w:p w:rsidR="00644304" w:rsidRDefault="00394146">
      <w:pPr>
        <w:spacing w:before="238" w:line="266" w:lineRule="exact"/>
        <w:ind w:firstLine="576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Każdy pracownik i student będący użytkownikiem przedmiotowego obiektu niezależnie od zajmowanego stanowiska i sprawowanej funkcji powinien:</w:t>
      </w:r>
    </w:p>
    <w:p w:rsidR="00644304" w:rsidRDefault="00394146">
      <w:pPr>
        <w:numPr>
          <w:ilvl w:val="0"/>
          <w:numId w:val="2"/>
        </w:numPr>
        <w:tabs>
          <w:tab w:val="left" w:pos="73"/>
        </w:tabs>
        <w:spacing w:before="101" w:line="274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 xml:space="preserve">Zostać </w:t>
      </w:r>
      <w:proofErr w:type="spellStart"/>
      <w:r>
        <w:rPr>
          <w:rFonts w:eastAsia="Times New Roman" w:cs="Arial"/>
          <w:color w:val="000000"/>
          <w:lang w:eastAsia="pl-PL"/>
        </w:rPr>
        <w:t>przszkolony</w:t>
      </w:r>
      <w:proofErr w:type="spellEnd"/>
      <w:r>
        <w:rPr>
          <w:rFonts w:eastAsia="Times New Roman" w:cs="Arial"/>
          <w:color w:val="000000"/>
          <w:lang w:eastAsia="pl-PL"/>
        </w:rPr>
        <w:t xml:space="preserve"> z: przepisów przeciwpożarowych i zasad postępowania na wypadek pożaru – w szkoleniu wstępnym; </w:t>
      </w:r>
      <w:r>
        <w:rPr>
          <w:rFonts w:eastAsia="Arial Unicode MS" w:cs="Calibri"/>
          <w:color w:val="000000"/>
          <w:lang w:eastAsia="pl-PL"/>
        </w:rPr>
        <w:t xml:space="preserve">Szkolenie wstępne bhp składa się z dwóch części: instruktażu ogólnego prowadzonego przez specjalistę ds. bhp, zakończone kartą szkolenia wstępnego i instruktażu stanowiskowego prowadzonego przez bezpośredniego zwierzchnika. Szkolenie to jest jednorazowe i wymagane przed rozpoczęciem wykonywania swoich obowiązków.  </w:t>
      </w:r>
    </w:p>
    <w:p w:rsidR="00644304" w:rsidRDefault="00394146">
      <w:pPr>
        <w:tabs>
          <w:tab w:val="left" w:pos="135"/>
        </w:tabs>
        <w:spacing w:before="108" w:line="266" w:lineRule="exact"/>
        <w:textAlignment w:val="baseline"/>
        <w:rPr>
          <w:rFonts w:hint="eastAsia"/>
        </w:rPr>
      </w:pPr>
      <w:r>
        <w:rPr>
          <w:rFonts w:eastAsia="Times New Roman" w:cs="Arial"/>
          <w:color w:val="000000"/>
          <w:sz w:val="28"/>
          <w:szCs w:val="28"/>
          <w:lang w:eastAsia="pl-PL"/>
        </w:rPr>
        <w:t>2</w:t>
      </w:r>
      <w:r>
        <w:rPr>
          <w:rFonts w:eastAsia="Times New Roman" w:cs="Arial"/>
          <w:color w:val="000000"/>
          <w:lang w:eastAsia="pl-PL"/>
        </w:rPr>
        <w:t xml:space="preserve">. Zapoznać się szczegółowo z postanowieniami niniejszej instrukcji potwierdzając ten fakt podpisem na druku oświadczenia. </w:t>
      </w:r>
      <w:r>
        <w:rPr>
          <w:rFonts w:eastAsia="Arial Unicode MS" w:cs="Calibri"/>
          <w:color w:val="000000"/>
          <w:lang w:eastAsia="pl-PL"/>
        </w:rPr>
        <w:t>Do zapoznania się z IBP korzystamy z zapisu elektronicznego.</w:t>
      </w:r>
    </w:p>
    <w:p w:rsidR="00644304" w:rsidRDefault="00394146">
      <w:pPr>
        <w:tabs>
          <w:tab w:val="left" w:pos="382"/>
        </w:tabs>
        <w:spacing w:before="144"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sz w:val="28"/>
          <w:szCs w:val="28"/>
          <w:lang w:eastAsia="pl-PL"/>
        </w:rPr>
        <w:t>3.</w:t>
      </w:r>
      <w:r>
        <w:rPr>
          <w:rFonts w:eastAsia="Times New Roman" w:cs="Arial"/>
          <w:color w:val="000000"/>
          <w:lang w:eastAsia="pl-PL"/>
        </w:rPr>
        <w:t xml:space="preserve"> Uczestniczyć w szkoleniach okresowych. Program okresowego szkolenia BHP powinien zawierać wymagane tematy ppoż.:</w:t>
      </w:r>
    </w:p>
    <w:p w:rsidR="00644304" w:rsidRDefault="00394146">
      <w:pPr>
        <w:tabs>
          <w:tab w:val="left" w:pos="1059"/>
        </w:tabs>
        <w:spacing w:before="115"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- Przyczyny i okoliczności powstawania pożarów oraz ich rozprzestrzenianie.</w:t>
      </w:r>
    </w:p>
    <w:p w:rsidR="00644304" w:rsidRDefault="00394146">
      <w:pPr>
        <w:tabs>
          <w:tab w:val="left" w:pos="1059"/>
        </w:tabs>
        <w:spacing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- Sposoby i metody zapobiegania powstawaniu pożarów,</w:t>
      </w:r>
    </w:p>
    <w:p w:rsidR="00644304" w:rsidRDefault="00394146">
      <w:pPr>
        <w:tabs>
          <w:tab w:val="left" w:pos="1059"/>
        </w:tabs>
        <w:spacing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- Zapewnienie bezpiecznych warunków ewakuacji ludzi z obiektu,</w:t>
      </w:r>
    </w:p>
    <w:p w:rsidR="00644304" w:rsidRDefault="00394146">
      <w:pPr>
        <w:tabs>
          <w:tab w:val="left" w:pos="1059"/>
        </w:tabs>
        <w:spacing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- Zasady prowadzania ewakuacji ludzi i mienia.</w:t>
      </w:r>
    </w:p>
    <w:p w:rsidR="00644304" w:rsidRDefault="00394146">
      <w:pPr>
        <w:spacing w:line="266" w:lineRule="exact"/>
        <w:textAlignment w:val="baseline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- Zasady postępowania na wypadek pożaru oraz posługiwania się posiadanymi urządzeniami ppoż. i podręcznym sprzętem gaśniczymi.</w:t>
      </w:r>
    </w:p>
    <w:p w:rsidR="00644304" w:rsidRDefault="00394146">
      <w:pPr>
        <w:spacing w:before="115" w:line="266" w:lineRule="exact"/>
        <w:ind w:firstLine="691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Szkolenie w zakresie ochrony przeciwpożarowej powinna przeprowadzić osoba tematycznie i fachowo do tego przygotowana. W szkoleniu wykorzystujemy zarządzenie Rektora AS nr 38/2019 w sprawie postępowania w przypadku zagrożenia...</w:t>
      </w:r>
    </w:p>
    <w:p w:rsidR="00644304" w:rsidRDefault="00394146">
      <w:pPr>
        <w:spacing w:before="108" w:line="266" w:lineRule="exact"/>
        <w:ind w:firstLine="684"/>
        <w:rPr>
          <w:rFonts w:ascii="Calibri" w:hAnsi="Calibri"/>
        </w:rPr>
      </w:pPr>
      <w:r>
        <w:rPr>
          <w:rFonts w:eastAsia="Times New Roman" w:cs="Arial"/>
          <w:color w:val="000000"/>
          <w:lang w:eastAsia="pl-PL"/>
        </w:rPr>
        <w:t>Wymienione: Karta Szkolenia Wstępnego, Oświadczenie i Zaświadczenie o przebytych szkoleniach powinny znajdować się w aktach osobowych każdego pracownika i studenta w AS.</w:t>
      </w:r>
    </w:p>
    <w:p w:rsidR="00644304" w:rsidRDefault="00394146">
      <w:pPr>
        <w:spacing w:before="115" w:line="266" w:lineRule="exact"/>
        <w:ind w:firstLine="691"/>
        <w:rPr>
          <w:rFonts w:hint="eastAsia"/>
        </w:rPr>
      </w:pPr>
      <w:r>
        <w:rPr>
          <w:rFonts w:eastAsia="Times New Roman" w:cs="Arial"/>
          <w:color w:val="000000"/>
          <w:lang w:eastAsia="pl-PL"/>
        </w:rPr>
        <w:t xml:space="preserve">Postanowienia instrukcji obowiązują również pracowników firm i przedsiębiorstw prowadzących działalność gospodarczą lub wykonujących prace zlecone na terenie budynku Akademii Sztuki zlokalizowanego w Szczecinie przy alei Niepodległości 40. Umowa o powierzenie prac lub wynajem części obiektów musi zobowiązywać wykonawców (najemców) do przestrzegania ustaleń wynikających z treści niniejszej instrukcji. Zawierane umowy powinny uwzględniać zapisy art, 4 ust. 1a ustawy z dnia 24 sierpnia 1991 r. o ochronie przeciwpożarowej (t. j. Dz. U. </w:t>
      </w:r>
      <w:proofErr w:type="gramStart"/>
      <w:r>
        <w:rPr>
          <w:rFonts w:eastAsia="Times New Roman" w:cs="Arial"/>
          <w:color w:val="000000"/>
          <w:lang w:eastAsia="pl-PL"/>
        </w:rPr>
        <w:t>z</w:t>
      </w:r>
      <w:proofErr w:type="gramEnd"/>
      <w:r>
        <w:rPr>
          <w:rFonts w:eastAsia="Times New Roman" w:cs="Arial"/>
          <w:color w:val="000000"/>
          <w:lang w:eastAsia="pl-PL"/>
        </w:rPr>
        <w:t xml:space="preserve"> 2009 r. Nr 178, poz. 1380 ze zmianami.). </w:t>
      </w:r>
      <w:r>
        <w:rPr>
          <w:rFonts w:eastAsia="Times New Roman" w:cs="Arial"/>
          <w:color w:val="000000"/>
          <w:lang w:eastAsia="pl-PL"/>
        </w:rPr>
        <w:br/>
      </w:r>
      <w:r>
        <w:rPr>
          <w:rFonts w:cs="Arial"/>
          <w:color w:val="000000"/>
          <w:lang w:eastAsia="pl-PL"/>
        </w:rPr>
        <w:t>Zmian w organizacji szkolenia może dokonywać Rektor Akademii Sztuki w Szczecinie.</w:t>
      </w: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644304">
      <w:pPr>
        <w:spacing w:before="115" w:line="266" w:lineRule="exact"/>
        <w:ind w:firstLine="691"/>
        <w:rPr>
          <w:rFonts w:cs="Arial" w:hint="eastAsia"/>
          <w:color w:val="000000"/>
          <w:lang w:eastAsia="pl-PL"/>
        </w:rPr>
      </w:pPr>
    </w:p>
    <w:p w:rsidR="00644304" w:rsidRDefault="00394146">
      <w:pPr>
        <w:spacing w:before="115" w:line="266" w:lineRule="exact"/>
        <w:ind w:firstLine="691"/>
        <w:rPr>
          <w:rFonts w:hint="eastAsia"/>
        </w:rPr>
      </w:pPr>
      <w:r>
        <w:rPr>
          <w:rFonts w:cs="Arial"/>
          <w:b/>
          <w:bCs/>
          <w:color w:val="000000"/>
          <w:sz w:val="28"/>
          <w:szCs w:val="28"/>
          <w:lang w:eastAsia="pl-PL"/>
        </w:rPr>
        <w:t>10. Zadania I obowiązki funkcyjnych w czasie ewakuacji</w:t>
      </w:r>
      <w:r>
        <w:rPr>
          <w:b/>
          <w:i/>
          <w:sz w:val="28"/>
          <w:szCs w:val="28"/>
        </w:rPr>
        <w:br/>
      </w:r>
    </w:p>
    <w:p w:rsidR="00644304" w:rsidRDefault="00394146">
      <w:pPr>
        <w:rPr>
          <w:rFonts w:hint="eastAsia"/>
        </w:rPr>
      </w:pPr>
      <w:r>
        <w:rPr>
          <w:color w:val="000000"/>
          <w:sz w:val="24"/>
        </w:rPr>
        <w:t>Z upoważnienia Rektora Kierownikiem Akcji Ewakuacji (KAE) jest DZIEKAN, obecny w obiekcie w czasie akcji. W razie ich nieobecności kierownictwo przejmuje osoba z najwyższym stanowiskiem.</w:t>
      </w:r>
    </w:p>
    <w:p w:rsidR="00644304" w:rsidRDefault="00394146">
      <w:pPr>
        <w:rPr>
          <w:rFonts w:hint="eastAsia"/>
        </w:rPr>
      </w:pPr>
      <w:r>
        <w:rPr>
          <w:b/>
        </w:rPr>
        <w:t>KIERUJĄCY AKCJĄ EWAKUACJI (KAE) jest koordynatorem ćwiczeń</w:t>
      </w:r>
    </w:p>
    <w:p w:rsidR="00644304" w:rsidRDefault="00394146">
      <w:pPr>
        <w:rPr>
          <w:rFonts w:hint="eastAsia"/>
        </w:rPr>
      </w:pPr>
      <w:r>
        <w:t>1/</w:t>
      </w:r>
      <w:r>
        <w:rPr>
          <w:b/>
        </w:rPr>
        <w:t xml:space="preserve"> </w:t>
      </w:r>
      <w:r>
        <w:t xml:space="preserve">Decyduje o rozpoczęciu akcji (ewakuacji lub ćwiczenia) </w:t>
      </w:r>
      <w:r>
        <w:br/>
        <w:t xml:space="preserve">2/ Decyduje o powiadomieniu służby ratowniczej – PSP </w:t>
      </w:r>
      <w:r>
        <w:br/>
        <w:t>3/ Poleca otwarcie wyjścia awaryjnego z budynku (przez portiera, na bieżąco).</w:t>
      </w:r>
      <w:r>
        <w:br/>
        <w:t>4/ Przydziela w czasie akcji zadania wynikające z potrzeb.</w:t>
      </w:r>
      <w:r>
        <w:br/>
        <w:t>5/ Sprawdza stan liczbowy obecnych w budynku i w rejonie ewakuacji</w:t>
      </w:r>
      <w:r>
        <w:br/>
        <w:t xml:space="preserve">6/ Podsumowuje zadanie, dokonuje zakończenia akcji i pozwala rozejść się uczestnikom akcji. </w:t>
      </w:r>
      <w:r>
        <w:br/>
        <w:t xml:space="preserve">  </w:t>
      </w:r>
      <w:r>
        <w:rPr>
          <w:b/>
        </w:rPr>
        <w:t xml:space="preserve">Zadania KAE wykonywane w związku z przygotowaniem </w:t>
      </w:r>
      <w:proofErr w:type="gramStart"/>
      <w:r>
        <w:rPr>
          <w:b/>
        </w:rPr>
        <w:t>do  z</w:t>
      </w:r>
      <w:proofErr w:type="gramEnd"/>
      <w:r>
        <w:rPr>
          <w:b/>
        </w:rPr>
        <w:t xml:space="preserve"> ćwiczeń</w:t>
      </w:r>
      <w:r>
        <w:rPr>
          <w:b/>
          <w:i/>
        </w:rPr>
        <w:t xml:space="preserve"> </w:t>
      </w:r>
      <w:r>
        <w:rPr>
          <w:b/>
        </w:rPr>
        <w:br/>
      </w:r>
      <w:r>
        <w:t xml:space="preserve">1/ Planuje ćwiczenia, jako szkolenia, które przygotowują ludzi do gotowości w razie pożaru </w:t>
      </w:r>
      <w:r>
        <w:br/>
        <w:t xml:space="preserve">2/ Powiadamia Państwową Straż Pożarną o planowanym ćwiczeniu </w:t>
      </w:r>
      <w:r>
        <w:br/>
        <w:t>3/ Ustala: funkcje i procedur</w:t>
      </w:r>
      <w:r>
        <w:rPr>
          <w:color w:val="1F497D"/>
        </w:rPr>
        <w:t>y</w:t>
      </w:r>
      <w:r>
        <w:t xml:space="preserve"> postępowania na czas ewakuacji ludzi.</w:t>
      </w:r>
      <w:r>
        <w:br/>
      </w:r>
    </w:p>
    <w:p w:rsidR="00644304" w:rsidRDefault="00394146">
      <w:pPr>
        <w:ind w:left="113" w:right="-510"/>
        <w:rPr>
          <w:rFonts w:ascii="Calibri" w:hAnsi="Calibri"/>
          <w:b/>
        </w:rPr>
      </w:pPr>
      <w:r>
        <w:rPr>
          <w:b/>
        </w:rPr>
        <w:t xml:space="preserve">WYKŁADOWCY, PROWADZĄCY ZAJĘCIA; </w:t>
      </w:r>
      <w:proofErr w:type="spellStart"/>
      <w:r>
        <w:rPr>
          <w:b/>
        </w:rPr>
        <w:t>prcownicy</w:t>
      </w:r>
      <w:proofErr w:type="spellEnd"/>
      <w:r>
        <w:rPr>
          <w:b/>
        </w:rPr>
        <w:t xml:space="preserve"> administracji</w:t>
      </w:r>
    </w:p>
    <w:p w:rsidR="00644304" w:rsidRDefault="00394146">
      <w:pPr>
        <w:ind w:right="-454"/>
        <w:rPr>
          <w:rFonts w:hint="eastAsia"/>
        </w:rPr>
      </w:pPr>
      <w:r>
        <w:rPr>
          <w:sz w:val="24"/>
        </w:rPr>
        <w:t xml:space="preserve">1/ Wykonują polecenia Kierującego Akcją Ewakuacji (KAE) </w:t>
      </w:r>
      <w:r>
        <w:rPr>
          <w:color w:val="FF0000"/>
          <w:sz w:val="24"/>
        </w:rPr>
        <w:br/>
      </w:r>
      <w:r>
        <w:rPr>
          <w:sz w:val="24"/>
        </w:rPr>
        <w:t xml:space="preserve">2/ Prowadzą ewakuację podległej grupy: studentów, słuchaczy i innych osób. </w:t>
      </w:r>
      <w:r>
        <w:rPr>
          <w:sz w:val="24"/>
        </w:rPr>
        <w:br/>
        <w:t xml:space="preserve">3/ W szczególnych </w:t>
      </w:r>
      <w:proofErr w:type="gramStart"/>
      <w:r>
        <w:rPr>
          <w:sz w:val="24"/>
        </w:rPr>
        <w:t>przypadkach  kierują</w:t>
      </w:r>
      <w:proofErr w:type="gramEnd"/>
      <w:r>
        <w:rPr>
          <w:sz w:val="24"/>
        </w:rPr>
        <w:t xml:space="preserve"> akcją ewakuacji z obiektu, hierarchicznie</w:t>
      </w:r>
      <w:r>
        <w:rPr>
          <w:sz w:val="24"/>
        </w:rPr>
        <w:br/>
        <w:t xml:space="preserve">4/ W rejonie ewakuacji zgłaszają KAE stan liczebny - obecnych na zajęciach. </w:t>
      </w:r>
      <w:r>
        <w:rPr>
          <w:sz w:val="24"/>
        </w:rPr>
        <w:br/>
      </w:r>
      <w:r>
        <w:rPr>
          <w:b/>
        </w:rPr>
        <w:br/>
        <w:t xml:space="preserve">Zadania PORTIERA </w:t>
      </w:r>
    </w:p>
    <w:p w:rsidR="00644304" w:rsidRDefault="00394146">
      <w:pPr>
        <w:rPr>
          <w:rFonts w:hint="eastAsia"/>
        </w:rPr>
      </w:pPr>
      <w:r>
        <w:rPr>
          <w:sz w:val="24"/>
        </w:rPr>
        <w:t xml:space="preserve">Zadania zawarte są w istniejącej Instrukcji Bezpieczeństwa Pożarowego dla budynku przy alei Niepodległości 40 i instrukcją postępowania opracowaną przez firmę zatrudniającą portiera oraz instrukcją ppoż. ogólną i instrukcją ppoż. alarmową. Szczególną uwagę zwraca na: </w:t>
      </w:r>
      <w:r>
        <w:rPr>
          <w:sz w:val="24"/>
        </w:rPr>
        <w:br/>
        <w:t>1/ Wykonywanie poleceń KAE.</w:t>
      </w:r>
      <w:r>
        <w:rPr>
          <w:sz w:val="24"/>
        </w:rPr>
        <w:br/>
        <w:t xml:space="preserve">2/ Powiadomienie Dziekana </w:t>
      </w:r>
      <w:r>
        <w:rPr>
          <w:sz w:val="24"/>
        </w:rPr>
        <w:br/>
        <w:t xml:space="preserve">3/ W czasie, kiedy nie ma zajęć – do czasu przybycia KAE – pełni obowiązki KAE. </w:t>
      </w:r>
      <w:r>
        <w:rPr>
          <w:sz w:val="24"/>
        </w:rPr>
        <w:br/>
        <w:t xml:space="preserve">4/ Wykorzystanie patrolu ruchomego firmy ochroniarskiej </w:t>
      </w:r>
      <w:r>
        <w:rPr>
          <w:sz w:val="24"/>
        </w:rPr>
        <w:br/>
        <w:t>5/ Wyłącza instalacje i urządzenia, które mogą zwiększać zagrożenie</w:t>
      </w:r>
      <w:r>
        <w:rPr>
          <w:sz w:val="24"/>
        </w:rPr>
        <w:br/>
        <w:t>6/ Obsługuje system sygnalizacji alarmowo pożarowej SAP i inne zabezpieczenia specjalne</w:t>
      </w:r>
    </w:p>
    <w:p w:rsidR="00644304" w:rsidRDefault="00394146">
      <w:pPr>
        <w:ind w:left="113"/>
        <w:rPr>
          <w:rFonts w:ascii="Calibri" w:hAnsi="Calibri"/>
          <w:b/>
        </w:rPr>
      </w:pPr>
      <w:r>
        <w:rPr>
          <w:b/>
        </w:rPr>
        <w:t>Zadania SPRZĄTACZKI</w:t>
      </w:r>
    </w:p>
    <w:p w:rsidR="00644304" w:rsidRDefault="00394146">
      <w:pPr>
        <w:rPr>
          <w:rFonts w:ascii="Calibri" w:hAnsi="Calibri"/>
        </w:rPr>
      </w:pPr>
      <w:r>
        <w:t>1/ Powiadamia portiera o zagrożeniu</w:t>
      </w:r>
    </w:p>
    <w:p w:rsidR="00644304" w:rsidRDefault="00394146">
      <w:pPr>
        <w:rPr>
          <w:rFonts w:ascii="Calibri" w:hAnsi="Calibri"/>
        </w:rPr>
      </w:pPr>
      <w:r>
        <w:t>3/ Wykonuje inne polecenia Kierującego Akcją Ewakuacji</w:t>
      </w:r>
    </w:p>
    <w:p w:rsidR="00644304" w:rsidRDefault="00394146">
      <w:pPr>
        <w:rPr>
          <w:rFonts w:ascii="Calibri" w:hAnsi="Calibri"/>
        </w:rPr>
      </w:pPr>
      <w:r>
        <w:t>4/ Stara się ugasić pożar w zarodku dostępnymi środkami gaśniczymi, w zależności od sytuacji.</w:t>
      </w:r>
    </w:p>
    <w:p w:rsidR="00644304" w:rsidRDefault="00394146">
      <w:pPr>
        <w:rPr>
          <w:rFonts w:hint="eastAsia"/>
        </w:rPr>
      </w:pPr>
      <w:r>
        <w:t>5/ Opuszczając miejsce pobytu alarmuje otoczenie głosem, zamyka okna i drzwi (o ile można).</w:t>
      </w:r>
      <w:r>
        <w:br/>
      </w:r>
    </w:p>
    <w:p w:rsidR="00644304" w:rsidRDefault="00394146">
      <w:pPr>
        <w:ind w:left="113"/>
        <w:rPr>
          <w:rFonts w:hint="eastAsia"/>
          <w:sz w:val="24"/>
        </w:rPr>
      </w:pPr>
      <w:r>
        <w:rPr>
          <w:b/>
        </w:rPr>
        <w:t xml:space="preserve">Zadania SANITARIUSZA </w:t>
      </w:r>
      <w:r>
        <w:rPr>
          <w:b/>
        </w:rPr>
        <w:br/>
      </w:r>
      <w:r>
        <w:rPr>
          <w:sz w:val="24"/>
        </w:rPr>
        <w:t xml:space="preserve">Funkcję sanitariusza pełni pracownik biura Dziekanów. Pobiera przenośną apteczkę z portierni i idzie w rejon ewakuacji, gdzie może udzielać pierwszej pomocy. </w:t>
      </w:r>
      <w:r>
        <w:rPr>
          <w:sz w:val="24"/>
        </w:rPr>
        <w:br/>
      </w:r>
      <w:r>
        <w:br/>
      </w:r>
      <w:r>
        <w:rPr>
          <w:b/>
        </w:rPr>
        <w:t xml:space="preserve">GONIEC – </w:t>
      </w:r>
      <w:r>
        <w:rPr>
          <w:sz w:val="24"/>
        </w:rPr>
        <w:t>przy braku elektronicznych systemów bezpieczeństwa jest wymagany do alarmowania głosem. W czasie godzin pracy (zajęć) gońcem może być każdy użytkownik obecny w budynku: student, portier, sprzątaczka, itp. – wskazany na czas akcji przez KAE.</w:t>
      </w: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644304">
      <w:pPr>
        <w:ind w:left="113"/>
        <w:rPr>
          <w:rFonts w:hint="eastAsia"/>
        </w:rPr>
      </w:pPr>
    </w:p>
    <w:p w:rsidR="00644304" w:rsidRDefault="00394146">
      <w:pPr>
        <w:spacing w:before="230" w:line="266" w:lineRule="exact"/>
        <w:ind w:left="680"/>
        <w:textAlignment w:val="baseline"/>
        <w:rPr>
          <w:rFonts w:hint="eastAsia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11. Plan ewakuacji ludzi rysunkowy (w rzutach)</w:t>
      </w:r>
    </w:p>
    <w:p w:rsidR="00644304" w:rsidRDefault="00644304">
      <w:pPr>
        <w:pStyle w:val="Style5"/>
        <w:widowControl/>
        <w:jc w:val="left"/>
        <w:rPr>
          <w:rFonts w:ascii="Calibri" w:hAnsi="Calibri"/>
          <w:sz w:val="22"/>
          <w:szCs w:val="22"/>
        </w:rPr>
      </w:pP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 xml:space="preserve">11/1 Plan ewakuacji rzut sytuacyjny </w:t>
      </w: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>11/2 Plan ewakuacji kondygnacji – PIWNICE</w:t>
      </w:r>
      <w:r w:rsidR="00BF6C8F">
        <w:rPr>
          <w:rFonts w:ascii="Calibri" w:hAnsi="Calibri"/>
          <w:sz w:val="22"/>
          <w:szCs w:val="22"/>
        </w:rPr>
        <w:t xml:space="preserve"> (nieużytkowe)</w:t>
      </w: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>11/3 Plan ewakuacji kondygnacji – PARTER WYSOKI</w:t>
      </w: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>11/4 Plan ewakuacji kondygnacji – I -SZE PIĘTRO</w:t>
      </w: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>11/5 Plan ewakuacji kondygnacji – II -GIE PIĘTRO</w:t>
      </w:r>
    </w:p>
    <w:p w:rsidR="00644304" w:rsidRDefault="00394146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 xml:space="preserve">11/6 Plan ewakuacji kondygnacji – poddasze </w:t>
      </w:r>
      <w:r w:rsidR="00BF6C8F">
        <w:rPr>
          <w:rFonts w:ascii="Calibri" w:hAnsi="Calibri"/>
          <w:sz w:val="22"/>
          <w:szCs w:val="22"/>
        </w:rPr>
        <w:t>(nieużytkowe)</w:t>
      </w:r>
    </w:p>
    <w:p w:rsidR="00644304" w:rsidRDefault="00644304">
      <w:pPr>
        <w:pStyle w:val="Style5"/>
        <w:widowControl/>
        <w:jc w:val="left"/>
        <w:rPr>
          <w:rFonts w:ascii="Calibri" w:hAnsi="Calibri"/>
          <w:sz w:val="22"/>
          <w:szCs w:val="22"/>
        </w:rPr>
      </w:pPr>
    </w:p>
    <w:p w:rsidR="00644304" w:rsidRDefault="00394146">
      <w:pPr>
        <w:pStyle w:val="Style5"/>
        <w:widowControl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Rysunkowe plany ewakuacji ludzi są rozmieszczone na kondygnacjach użytkowych w pionie klatki schodowej A. Plany pomagają rozpoznać: rozmieszczenie pomieszczeń, kierunki wyjścia z budynku </w:t>
      </w:r>
      <w:r>
        <w:rPr>
          <w:rFonts w:ascii="Calibri" w:hAnsi="Calibri"/>
          <w:sz w:val="22"/>
          <w:szCs w:val="22"/>
        </w:rPr>
        <w:br/>
        <w:t>i oznaczenia różnych zabezpieczeń.</w:t>
      </w:r>
    </w:p>
    <w:p w:rsidR="009616F7" w:rsidRDefault="009616F7">
      <w:pPr>
        <w:pStyle w:val="Style5"/>
        <w:widowControl/>
        <w:jc w:val="left"/>
      </w:pPr>
      <w:r>
        <w:rPr>
          <w:rFonts w:ascii="Calibri" w:hAnsi="Calibri"/>
          <w:sz w:val="22"/>
          <w:szCs w:val="22"/>
        </w:rPr>
        <w:t xml:space="preserve">Załączniki są w posiadaniu </w:t>
      </w:r>
      <w:proofErr w:type="gramStart"/>
      <w:r>
        <w:rPr>
          <w:rFonts w:ascii="Calibri" w:hAnsi="Calibri"/>
          <w:sz w:val="22"/>
          <w:szCs w:val="22"/>
        </w:rPr>
        <w:t>Sekcji  Inwestycji</w:t>
      </w:r>
      <w:proofErr w:type="gramEnd"/>
      <w:r>
        <w:rPr>
          <w:rFonts w:ascii="Calibri" w:hAnsi="Calibri"/>
          <w:sz w:val="22"/>
          <w:szCs w:val="22"/>
        </w:rPr>
        <w:t>, Remontów i Administracji (IRiA).</w:t>
      </w: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p w:rsidR="00644304" w:rsidRDefault="00644304">
      <w:pPr>
        <w:rPr>
          <w:rFonts w:hint="eastAsia"/>
        </w:rPr>
      </w:pPr>
    </w:p>
    <w:sectPr w:rsidR="0064430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28" w:rsidRDefault="006C7528">
      <w:pPr>
        <w:rPr>
          <w:rFonts w:hint="eastAsia"/>
        </w:rPr>
      </w:pPr>
      <w:r>
        <w:separator/>
      </w:r>
    </w:p>
  </w:endnote>
  <w:endnote w:type="continuationSeparator" w:id="0">
    <w:p w:rsidR="006C7528" w:rsidRDefault="006C75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220043"/>
      <w:docPartObj>
        <w:docPartGallery w:val="Page Numbers (Bottom of Page)"/>
        <w:docPartUnique/>
      </w:docPartObj>
    </w:sdtPr>
    <w:sdtEndPr/>
    <w:sdtContent>
      <w:p w:rsidR="00644304" w:rsidRDefault="00394146">
        <w:pPr>
          <w:pStyle w:val="Stopka"/>
          <w:jc w:val="center"/>
          <w:rPr>
            <w:rFonts w:hint="eastAsia"/>
          </w:rPr>
        </w:pPr>
        <w:r>
          <w:fldChar w:fldCharType="begin"/>
        </w:r>
        <w:r>
          <w:instrText>PAGE</w:instrText>
        </w:r>
        <w:r>
          <w:fldChar w:fldCharType="separate"/>
        </w:r>
        <w:r w:rsidR="00492E8F">
          <w:rPr>
            <w:rFonts w:hint="eastAsia"/>
            <w:noProof/>
          </w:rPr>
          <w:t>6</w:t>
        </w:r>
        <w:r>
          <w:fldChar w:fldCharType="end"/>
        </w:r>
      </w:p>
    </w:sdtContent>
  </w:sdt>
  <w:p w:rsidR="00644304" w:rsidRDefault="00644304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28" w:rsidRDefault="006C7528">
      <w:pPr>
        <w:rPr>
          <w:rFonts w:hint="eastAsia"/>
        </w:rPr>
      </w:pPr>
      <w:r>
        <w:separator/>
      </w:r>
    </w:p>
  </w:footnote>
  <w:footnote w:type="continuationSeparator" w:id="0">
    <w:p w:rsidR="006C7528" w:rsidRDefault="006C752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304" w:rsidRDefault="00394146">
    <w:pPr>
      <w:pStyle w:val="Style2"/>
      <w:widowControl/>
      <w:ind w:left="342" w:right="-17"/>
      <w:jc w:val="both"/>
    </w:pPr>
    <w:r>
      <w:rPr>
        <w:rStyle w:val="FontStyle56"/>
        <w:lang w:eastAsia="pl-PL"/>
      </w:rPr>
      <w:t>Instrukcja bezpieczeństwa pożarowego dla Pałacu Muzyki i Sztuki zlokalizowanego w Szczecinie</w:t>
    </w:r>
  </w:p>
  <w:p w:rsidR="00644304" w:rsidRDefault="00394146">
    <w:pPr>
      <w:pStyle w:val="Style2"/>
      <w:widowControl/>
      <w:tabs>
        <w:tab w:val="left" w:pos="1800"/>
        <w:tab w:val="center" w:pos="4546"/>
      </w:tabs>
      <w:spacing w:before="7"/>
      <w:ind w:left="40" w:right="19"/>
    </w:pPr>
    <w:r>
      <w:rPr>
        <w:rStyle w:val="FontStyle56"/>
        <w:lang w:eastAsia="pl-PL"/>
      </w:rPr>
      <w:tab/>
    </w:r>
    <w:r>
      <w:rPr>
        <w:rStyle w:val="FontStyle56"/>
        <w:lang w:eastAsia="pl-PL"/>
      </w:rPr>
      <w:tab/>
    </w:r>
    <w:proofErr w:type="gramStart"/>
    <w:r>
      <w:rPr>
        <w:rStyle w:val="FontStyle56"/>
        <w:lang w:eastAsia="pl-PL"/>
      </w:rPr>
      <w:t>przy</w:t>
    </w:r>
    <w:proofErr w:type="gramEnd"/>
    <w:r>
      <w:rPr>
        <w:rStyle w:val="FontStyle56"/>
        <w:lang w:eastAsia="pl-PL"/>
      </w:rPr>
      <w:t xml:space="preserve"> alei Niepodległości 40</w:t>
    </w:r>
  </w:p>
  <w:p w:rsidR="00644304" w:rsidRDefault="00394146">
    <w:pPr>
      <w:pStyle w:val="Nagwek"/>
      <w:rPr>
        <w:rFonts w:hint="eastAsia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94B14"/>
    <w:multiLevelType w:val="multilevel"/>
    <w:tmpl w:val="26DE8E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F21470E"/>
    <w:multiLevelType w:val="multilevel"/>
    <w:tmpl w:val="378078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6C61893"/>
    <w:multiLevelType w:val="multilevel"/>
    <w:tmpl w:val="D38E920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cs="Arial"/>
        <w:b w:val="0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C4434C4"/>
    <w:multiLevelType w:val="multilevel"/>
    <w:tmpl w:val="1E980114"/>
    <w:lvl w:ilvl="0">
      <w:start w:val="1"/>
      <w:numFmt w:val="bullet"/>
      <w:lvlText w:val=""/>
      <w:lvlJc w:val="left"/>
      <w:pPr>
        <w:ind w:left="100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3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304"/>
    <w:rsid w:val="00394146"/>
    <w:rsid w:val="00492E8F"/>
    <w:rsid w:val="00644304"/>
    <w:rsid w:val="006C7528"/>
    <w:rsid w:val="009616F7"/>
    <w:rsid w:val="00BF6C8F"/>
    <w:rsid w:val="00D8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overflowPunct w:val="0"/>
    </w:pPr>
    <w:rPr>
      <w:sz w:val="22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color w:val="FFFF00"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020BB"/>
  </w:style>
  <w:style w:type="character" w:customStyle="1" w:styleId="StopkaZnak">
    <w:name w:val="Stopka Znak"/>
    <w:basedOn w:val="Domylnaczcionkaakapitu"/>
    <w:link w:val="Stopka"/>
    <w:uiPriority w:val="99"/>
    <w:qFormat/>
    <w:rsid w:val="00C020BB"/>
  </w:style>
  <w:style w:type="character" w:customStyle="1" w:styleId="FontStyle56">
    <w:name w:val="Font Style56"/>
    <w:basedOn w:val="Domylnaczcionkaakapitu"/>
    <w:qFormat/>
    <w:rsid w:val="00C020BB"/>
    <w:rPr>
      <w:rFonts w:ascii="Arial" w:hAnsi="Arial" w:cs="Arial"/>
      <w:color w:val="000000"/>
      <w:sz w:val="18"/>
      <w:szCs w:val="18"/>
    </w:rPr>
  </w:style>
  <w:style w:type="character" w:customStyle="1" w:styleId="FontStyle48">
    <w:name w:val="Font Style48"/>
    <w:basedOn w:val="Domylnaczcionkaakapitu"/>
    <w:qFormat/>
    <w:rsid w:val="001817C2"/>
    <w:rPr>
      <w:rFonts w:ascii="Arial" w:hAnsi="Arial" w:cs="Arial"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4371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  <w:b w:val="0"/>
      <w:sz w:val="24"/>
    </w:rPr>
  </w:style>
  <w:style w:type="character" w:customStyle="1" w:styleId="ListLabel2">
    <w:name w:val="ListLabel 2"/>
    <w:qFormat/>
    <w:rPr>
      <w:rFonts w:ascii="Arial" w:hAnsi="Arial" w:cs="Arial"/>
      <w:b w:val="0"/>
      <w:sz w:val="24"/>
    </w:rPr>
  </w:style>
  <w:style w:type="character" w:customStyle="1" w:styleId="ListLabel3">
    <w:name w:val="ListLabel 3"/>
    <w:qFormat/>
    <w:rPr>
      <w:rFonts w:ascii="Arial" w:hAnsi="Arial" w:cs="Arial"/>
      <w:b w:val="0"/>
      <w:sz w:val="24"/>
    </w:rPr>
  </w:style>
  <w:style w:type="character" w:customStyle="1" w:styleId="ListLabel4">
    <w:name w:val="ListLabel 4"/>
    <w:qFormat/>
    <w:rPr>
      <w:rFonts w:ascii="Arial" w:hAnsi="Arial" w:cs="Arial"/>
      <w:b w:val="0"/>
      <w:sz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OpenSymbol"/>
      <w:sz w:val="24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ascii="Arial" w:hAnsi="Arial" w:cs="OpenSymbol"/>
      <w:sz w:val="24"/>
    </w:rPr>
  </w:style>
  <w:style w:type="character" w:customStyle="1" w:styleId="ListLabel13">
    <w:name w:val="ListLabel 13"/>
    <w:qFormat/>
    <w:rPr>
      <w:rFonts w:ascii="Arial" w:hAnsi="Arial" w:cs="OpenSymbol"/>
      <w:sz w:val="24"/>
    </w:rPr>
  </w:style>
  <w:style w:type="character" w:customStyle="1" w:styleId="ListLabel14">
    <w:name w:val="ListLabel 14"/>
    <w:qFormat/>
    <w:rPr>
      <w:rFonts w:ascii="Arial" w:hAnsi="Arial" w:cs="OpenSymbol"/>
      <w:sz w:val="24"/>
    </w:rPr>
  </w:style>
  <w:style w:type="character" w:customStyle="1" w:styleId="ListLabel15">
    <w:name w:val="ListLabel 15"/>
    <w:qFormat/>
    <w:rPr>
      <w:rFonts w:ascii="Arial" w:hAnsi="Arial" w:cs="Arial"/>
      <w:b w:val="0"/>
      <w:sz w:val="24"/>
    </w:rPr>
  </w:style>
  <w:style w:type="character" w:customStyle="1" w:styleId="ListLabel16">
    <w:name w:val="ListLabel 16"/>
    <w:qFormat/>
    <w:rPr>
      <w:rFonts w:ascii="Arial" w:hAnsi="Arial" w:cs="Arial"/>
      <w:b w:val="0"/>
      <w:sz w:val="24"/>
    </w:rPr>
  </w:style>
  <w:style w:type="character" w:customStyle="1" w:styleId="ListLabel17">
    <w:name w:val="ListLabel 17"/>
    <w:qFormat/>
    <w:rPr>
      <w:rFonts w:ascii="Arial" w:hAnsi="Arial" w:cs="Arial"/>
      <w:b w:val="0"/>
      <w:sz w:val="24"/>
    </w:rPr>
  </w:style>
  <w:style w:type="character" w:customStyle="1" w:styleId="ListLabel18">
    <w:name w:val="ListLabel 18"/>
    <w:qFormat/>
    <w:rPr>
      <w:rFonts w:ascii="Arial" w:hAnsi="Arial" w:cs="Arial"/>
      <w:b w:val="0"/>
      <w:sz w:val="24"/>
    </w:rPr>
  </w:style>
  <w:style w:type="character" w:customStyle="1" w:styleId="ListLabel19">
    <w:name w:val="ListLabel 19"/>
    <w:qFormat/>
    <w:rPr>
      <w:rFonts w:ascii="Arial" w:hAnsi="Arial" w:cs="Symbol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ascii="Arial" w:hAnsi="Arial" w:cs="OpenSymbol"/>
      <w:sz w:val="24"/>
    </w:rPr>
  </w:style>
  <w:style w:type="character" w:customStyle="1" w:styleId="ListLabel33">
    <w:name w:val="ListLabel 33"/>
    <w:qFormat/>
    <w:rPr>
      <w:rFonts w:ascii="Arial" w:hAnsi="Arial" w:cs="OpenSymbol"/>
      <w:sz w:val="24"/>
    </w:rPr>
  </w:style>
  <w:style w:type="character" w:customStyle="1" w:styleId="ListLabel34">
    <w:name w:val="ListLabel 34"/>
    <w:qFormat/>
    <w:rPr>
      <w:rFonts w:ascii="Arial" w:hAnsi="Arial" w:cs="OpenSymbol"/>
      <w:sz w:val="24"/>
    </w:rPr>
  </w:style>
  <w:style w:type="character" w:customStyle="1" w:styleId="ListLabel35">
    <w:name w:val="ListLabel 35"/>
    <w:qFormat/>
    <w:rPr>
      <w:rFonts w:ascii="Arial" w:hAnsi="Arial" w:cs="Arial"/>
      <w:b w:val="0"/>
      <w:sz w:val="24"/>
    </w:rPr>
  </w:style>
  <w:style w:type="character" w:customStyle="1" w:styleId="ListLabel36">
    <w:name w:val="ListLabel 36"/>
    <w:qFormat/>
    <w:rPr>
      <w:rFonts w:ascii="Arial" w:hAnsi="Arial" w:cs="Arial"/>
      <w:b w:val="0"/>
      <w:sz w:val="24"/>
    </w:rPr>
  </w:style>
  <w:style w:type="character" w:customStyle="1" w:styleId="ListLabel37">
    <w:name w:val="ListLabel 37"/>
    <w:qFormat/>
    <w:rPr>
      <w:rFonts w:ascii="Arial" w:hAnsi="Arial" w:cs="Arial"/>
      <w:b w:val="0"/>
      <w:sz w:val="24"/>
    </w:rPr>
  </w:style>
  <w:style w:type="character" w:customStyle="1" w:styleId="ListLabel38">
    <w:name w:val="ListLabel 38"/>
    <w:qFormat/>
    <w:rPr>
      <w:rFonts w:ascii="Arial" w:hAnsi="Arial" w:cs="Arial"/>
      <w:b w:val="0"/>
      <w:sz w:val="24"/>
    </w:rPr>
  </w:style>
  <w:style w:type="character" w:customStyle="1" w:styleId="ListLabel39">
    <w:name w:val="ListLabel 39"/>
    <w:qFormat/>
    <w:rPr>
      <w:rFonts w:ascii="Arial" w:hAnsi="Arial" w:cs="Symbol"/>
      <w:sz w:val="24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OpenSymbol"/>
      <w:sz w:val="24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ascii="Arial" w:hAnsi="Arial" w:cs="OpenSymbol"/>
      <w:sz w:val="24"/>
    </w:rPr>
  </w:style>
  <w:style w:type="character" w:customStyle="1" w:styleId="ListLabel53">
    <w:name w:val="ListLabel 53"/>
    <w:qFormat/>
    <w:rPr>
      <w:rFonts w:ascii="Arial" w:hAnsi="Arial" w:cs="OpenSymbol"/>
      <w:sz w:val="24"/>
    </w:rPr>
  </w:style>
  <w:style w:type="character" w:customStyle="1" w:styleId="ListLabel54">
    <w:name w:val="ListLabel 54"/>
    <w:qFormat/>
    <w:rPr>
      <w:rFonts w:ascii="Arial" w:hAnsi="Arial" w:cs="OpenSymbol"/>
      <w:sz w:val="24"/>
    </w:rPr>
  </w:style>
  <w:style w:type="character" w:customStyle="1" w:styleId="ListLabel55">
    <w:name w:val="ListLabel 55"/>
    <w:qFormat/>
    <w:rPr>
      <w:rFonts w:ascii="Arial" w:hAnsi="Arial" w:cs="Arial"/>
      <w:b w:val="0"/>
      <w:sz w:val="24"/>
    </w:rPr>
  </w:style>
  <w:style w:type="character" w:customStyle="1" w:styleId="ListLabel56">
    <w:name w:val="ListLabel 56"/>
    <w:qFormat/>
    <w:rPr>
      <w:rFonts w:ascii="Arial" w:hAnsi="Arial" w:cs="Arial"/>
      <w:b w:val="0"/>
      <w:sz w:val="24"/>
    </w:rPr>
  </w:style>
  <w:style w:type="character" w:customStyle="1" w:styleId="ListLabel57">
    <w:name w:val="ListLabel 57"/>
    <w:qFormat/>
    <w:rPr>
      <w:rFonts w:ascii="Arial" w:hAnsi="Arial" w:cs="Arial"/>
      <w:b w:val="0"/>
      <w:sz w:val="24"/>
    </w:rPr>
  </w:style>
  <w:style w:type="character" w:customStyle="1" w:styleId="ListLabel58">
    <w:name w:val="ListLabel 58"/>
    <w:qFormat/>
    <w:rPr>
      <w:rFonts w:ascii="Arial" w:hAnsi="Arial" w:cs="Arial"/>
      <w:b w:val="0"/>
      <w:sz w:val="24"/>
    </w:rPr>
  </w:style>
  <w:style w:type="character" w:customStyle="1" w:styleId="ListLabel59">
    <w:name w:val="ListLabel 59"/>
    <w:qFormat/>
    <w:rPr>
      <w:rFonts w:ascii="Arial" w:hAnsi="Arial"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OpenSymbol"/>
      <w:sz w:val="24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ascii="Arial" w:hAnsi="Arial" w:cs="OpenSymbol"/>
      <w:sz w:val="24"/>
    </w:rPr>
  </w:style>
  <w:style w:type="character" w:customStyle="1" w:styleId="ListLabel73">
    <w:name w:val="ListLabel 73"/>
    <w:qFormat/>
    <w:rPr>
      <w:rFonts w:ascii="Arial" w:hAnsi="Arial" w:cs="OpenSymbol"/>
      <w:sz w:val="24"/>
    </w:rPr>
  </w:style>
  <w:style w:type="character" w:customStyle="1" w:styleId="ListLabel74">
    <w:name w:val="ListLabel 74"/>
    <w:qFormat/>
    <w:rPr>
      <w:rFonts w:ascii="Arial" w:hAnsi="Arial" w:cs="OpenSymbol"/>
      <w:sz w:val="24"/>
    </w:rPr>
  </w:style>
  <w:style w:type="character" w:customStyle="1" w:styleId="ListLabel75">
    <w:name w:val="ListLabel 75"/>
    <w:qFormat/>
    <w:rPr>
      <w:rFonts w:ascii="Arial" w:hAnsi="Arial" w:cs="Arial"/>
      <w:b w:val="0"/>
      <w:sz w:val="24"/>
    </w:rPr>
  </w:style>
  <w:style w:type="character" w:customStyle="1" w:styleId="ListLabel76">
    <w:name w:val="ListLabel 76"/>
    <w:qFormat/>
    <w:rPr>
      <w:rFonts w:ascii="Arial" w:hAnsi="Arial" w:cs="Arial"/>
      <w:b w:val="0"/>
      <w:sz w:val="24"/>
    </w:rPr>
  </w:style>
  <w:style w:type="character" w:customStyle="1" w:styleId="ListLabel77">
    <w:name w:val="ListLabel 77"/>
    <w:qFormat/>
    <w:rPr>
      <w:rFonts w:ascii="Arial" w:hAnsi="Arial" w:cs="Arial"/>
      <w:b w:val="0"/>
      <w:sz w:val="24"/>
    </w:rPr>
  </w:style>
  <w:style w:type="character" w:customStyle="1" w:styleId="ListLabel78">
    <w:name w:val="ListLabel 78"/>
    <w:qFormat/>
    <w:rPr>
      <w:rFonts w:ascii="Arial" w:hAnsi="Arial" w:cs="Arial"/>
      <w:b w:val="0"/>
      <w:sz w:val="24"/>
    </w:rPr>
  </w:style>
  <w:style w:type="character" w:customStyle="1" w:styleId="ListLabel79">
    <w:name w:val="ListLabel 79"/>
    <w:qFormat/>
    <w:rPr>
      <w:rFonts w:ascii="Arial" w:hAnsi="Arial" w:cs="Symbol"/>
      <w:sz w:val="24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sz w:val="24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ascii="Arial" w:hAnsi="Arial" w:cs="OpenSymbol"/>
      <w:sz w:val="24"/>
    </w:rPr>
  </w:style>
  <w:style w:type="character" w:customStyle="1" w:styleId="ListLabel93">
    <w:name w:val="ListLabel 93"/>
    <w:qFormat/>
    <w:rPr>
      <w:rFonts w:ascii="Arial" w:hAnsi="Arial" w:cs="OpenSymbol"/>
      <w:sz w:val="24"/>
    </w:rPr>
  </w:style>
  <w:style w:type="character" w:customStyle="1" w:styleId="ListLabel94">
    <w:name w:val="ListLabel 94"/>
    <w:qFormat/>
    <w:rPr>
      <w:rFonts w:ascii="Arial" w:hAnsi="Arial" w:cs="OpenSymbol"/>
      <w:sz w:val="24"/>
    </w:rPr>
  </w:style>
  <w:style w:type="character" w:customStyle="1" w:styleId="ListLabel95">
    <w:name w:val="ListLabel 95"/>
    <w:qFormat/>
    <w:rPr>
      <w:rFonts w:ascii="Arial" w:hAnsi="Arial" w:cs="Arial"/>
      <w:b w:val="0"/>
      <w:sz w:val="24"/>
    </w:rPr>
  </w:style>
  <w:style w:type="character" w:customStyle="1" w:styleId="ListLabel96">
    <w:name w:val="ListLabel 96"/>
    <w:qFormat/>
    <w:rPr>
      <w:rFonts w:ascii="Arial" w:hAnsi="Arial" w:cs="Arial"/>
      <w:b w:val="0"/>
      <w:sz w:val="24"/>
    </w:rPr>
  </w:style>
  <w:style w:type="character" w:customStyle="1" w:styleId="ListLabel97">
    <w:name w:val="ListLabel 97"/>
    <w:qFormat/>
    <w:rPr>
      <w:rFonts w:ascii="Arial" w:hAnsi="Arial" w:cs="Arial"/>
      <w:b w:val="0"/>
      <w:sz w:val="24"/>
    </w:rPr>
  </w:style>
  <w:style w:type="character" w:customStyle="1" w:styleId="ListLabel98">
    <w:name w:val="ListLabel 98"/>
    <w:qFormat/>
    <w:rPr>
      <w:rFonts w:ascii="Arial" w:hAnsi="Arial" w:cs="Arial"/>
      <w:b w:val="0"/>
      <w:sz w:val="24"/>
    </w:rPr>
  </w:style>
  <w:style w:type="character" w:customStyle="1" w:styleId="ListLabel99">
    <w:name w:val="ListLabel 99"/>
    <w:qFormat/>
    <w:rPr>
      <w:rFonts w:ascii="Arial" w:hAnsi="Arial" w:cs="Symbol"/>
      <w:sz w:val="24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OpenSymbol"/>
      <w:sz w:val="24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ascii="Arial" w:hAnsi="Arial" w:cs="OpenSymbol"/>
      <w:sz w:val="24"/>
    </w:rPr>
  </w:style>
  <w:style w:type="character" w:customStyle="1" w:styleId="ListLabel113">
    <w:name w:val="ListLabel 113"/>
    <w:qFormat/>
    <w:rPr>
      <w:rFonts w:ascii="Arial" w:hAnsi="Arial" w:cs="OpenSymbol"/>
      <w:sz w:val="24"/>
    </w:rPr>
  </w:style>
  <w:style w:type="character" w:customStyle="1" w:styleId="ListLabel114">
    <w:name w:val="ListLabel 114"/>
    <w:qFormat/>
    <w:rPr>
      <w:rFonts w:ascii="Arial" w:hAnsi="Arial" w:cs="OpenSymbol"/>
      <w:sz w:val="24"/>
    </w:rPr>
  </w:style>
  <w:style w:type="character" w:customStyle="1" w:styleId="ListLabel115">
    <w:name w:val="ListLabel 115"/>
    <w:qFormat/>
    <w:rPr>
      <w:rFonts w:ascii="Arial" w:hAnsi="Arial" w:cs="Arial"/>
      <w:b w:val="0"/>
      <w:sz w:val="24"/>
    </w:rPr>
  </w:style>
  <w:style w:type="character" w:customStyle="1" w:styleId="ListLabel116">
    <w:name w:val="ListLabel 116"/>
    <w:qFormat/>
    <w:rPr>
      <w:rFonts w:ascii="Arial" w:hAnsi="Arial" w:cs="Arial"/>
      <w:b w:val="0"/>
      <w:sz w:val="24"/>
    </w:rPr>
  </w:style>
  <w:style w:type="character" w:customStyle="1" w:styleId="ListLabel117">
    <w:name w:val="ListLabel 117"/>
    <w:qFormat/>
    <w:rPr>
      <w:rFonts w:ascii="Arial" w:hAnsi="Arial" w:cs="Arial"/>
      <w:b w:val="0"/>
      <w:sz w:val="24"/>
    </w:rPr>
  </w:style>
  <w:style w:type="character" w:customStyle="1" w:styleId="ListLabel118">
    <w:name w:val="ListLabel 118"/>
    <w:qFormat/>
    <w:rPr>
      <w:rFonts w:ascii="Arial" w:hAnsi="Arial" w:cs="Arial"/>
      <w:b w:val="0"/>
      <w:sz w:val="24"/>
    </w:rPr>
  </w:style>
  <w:style w:type="character" w:customStyle="1" w:styleId="ListLabel119">
    <w:name w:val="ListLabel 119"/>
    <w:qFormat/>
    <w:rPr>
      <w:rFonts w:ascii="Arial" w:hAnsi="Arial" w:cs="Symbol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OpenSymbol"/>
      <w:sz w:val="24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ascii="Arial" w:hAnsi="Arial" w:cs="OpenSymbol"/>
      <w:sz w:val="24"/>
    </w:rPr>
  </w:style>
  <w:style w:type="character" w:customStyle="1" w:styleId="ListLabel133">
    <w:name w:val="ListLabel 133"/>
    <w:qFormat/>
    <w:rPr>
      <w:rFonts w:ascii="Arial" w:hAnsi="Arial" w:cs="OpenSymbol"/>
      <w:sz w:val="24"/>
    </w:rPr>
  </w:style>
  <w:style w:type="character" w:customStyle="1" w:styleId="ListLabel134">
    <w:name w:val="ListLabel 134"/>
    <w:qFormat/>
    <w:rPr>
      <w:rFonts w:ascii="Arial" w:hAnsi="Arial" w:cs="OpenSymbol"/>
      <w:sz w:val="24"/>
    </w:rPr>
  </w:style>
  <w:style w:type="character" w:customStyle="1" w:styleId="ListLabel135">
    <w:name w:val="ListLabel 135"/>
    <w:qFormat/>
    <w:rPr>
      <w:rFonts w:ascii="Arial" w:hAnsi="Arial" w:cs="Arial"/>
      <w:b w:val="0"/>
      <w:sz w:val="24"/>
    </w:rPr>
  </w:style>
  <w:style w:type="character" w:customStyle="1" w:styleId="ListLabel136">
    <w:name w:val="ListLabel 136"/>
    <w:qFormat/>
    <w:rPr>
      <w:rFonts w:ascii="Arial" w:hAnsi="Arial" w:cs="Arial"/>
      <w:b w:val="0"/>
      <w:sz w:val="24"/>
    </w:rPr>
  </w:style>
  <w:style w:type="character" w:customStyle="1" w:styleId="ListLabel137">
    <w:name w:val="ListLabel 137"/>
    <w:qFormat/>
    <w:rPr>
      <w:rFonts w:ascii="Arial" w:hAnsi="Arial" w:cs="Arial"/>
      <w:b w:val="0"/>
      <w:sz w:val="24"/>
    </w:rPr>
  </w:style>
  <w:style w:type="character" w:customStyle="1" w:styleId="ListLabel138">
    <w:name w:val="ListLabel 138"/>
    <w:qFormat/>
    <w:rPr>
      <w:rFonts w:ascii="Arial" w:hAnsi="Arial" w:cs="Arial"/>
      <w:b w:val="0"/>
      <w:sz w:val="24"/>
    </w:rPr>
  </w:style>
  <w:style w:type="character" w:customStyle="1" w:styleId="ListLabel139">
    <w:name w:val="ListLabel 139"/>
    <w:qFormat/>
    <w:rPr>
      <w:rFonts w:ascii="Arial" w:hAnsi="Arial" w:cs="Symbol"/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OpenSymbol"/>
      <w:sz w:val="24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ascii="Arial" w:hAnsi="Arial" w:cs="OpenSymbol"/>
      <w:sz w:val="24"/>
    </w:rPr>
  </w:style>
  <w:style w:type="character" w:customStyle="1" w:styleId="ListLabel153">
    <w:name w:val="ListLabel 153"/>
    <w:qFormat/>
    <w:rPr>
      <w:rFonts w:ascii="Arial" w:hAnsi="Arial" w:cs="OpenSymbol"/>
      <w:sz w:val="24"/>
    </w:rPr>
  </w:style>
  <w:style w:type="character" w:customStyle="1" w:styleId="ListLabel154">
    <w:name w:val="ListLabel 154"/>
    <w:qFormat/>
    <w:rPr>
      <w:rFonts w:ascii="Arial" w:hAnsi="Arial" w:cs="OpenSymbol"/>
      <w:sz w:val="24"/>
    </w:rPr>
  </w:style>
  <w:style w:type="character" w:customStyle="1" w:styleId="ListLabel155">
    <w:name w:val="ListLabel 155"/>
    <w:qFormat/>
    <w:rPr>
      <w:rFonts w:ascii="Arial" w:hAnsi="Arial" w:cs="Arial"/>
      <w:b w:val="0"/>
      <w:sz w:val="24"/>
    </w:rPr>
  </w:style>
  <w:style w:type="character" w:customStyle="1" w:styleId="ListLabel156">
    <w:name w:val="ListLabel 156"/>
    <w:qFormat/>
    <w:rPr>
      <w:rFonts w:ascii="Arial" w:hAnsi="Arial" w:cs="Arial"/>
      <w:b w:val="0"/>
      <w:sz w:val="24"/>
    </w:rPr>
  </w:style>
  <w:style w:type="character" w:customStyle="1" w:styleId="ListLabel157">
    <w:name w:val="ListLabel 157"/>
    <w:qFormat/>
    <w:rPr>
      <w:rFonts w:ascii="Arial" w:hAnsi="Arial" w:cs="Arial"/>
      <w:b w:val="0"/>
      <w:sz w:val="24"/>
    </w:rPr>
  </w:style>
  <w:style w:type="character" w:customStyle="1" w:styleId="ListLabel158">
    <w:name w:val="ListLabel 158"/>
    <w:qFormat/>
    <w:rPr>
      <w:rFonts w:ascii="Arial" w:hAnsi="Arial" w:cs="Arial"/>
      <w:b w:val="0"/>
      <w:sz w:val="24"/>
    </w:rPr>
  </w:style>
  <w:style w:type="character" w:customStyle="1" w:styleId="ListLabel159">
    <w:name w:val="ListLabel 159"/>
    <w:qFormat/>
    <w:rPr>
      <w:rFonts w:ascii="Arial" w:hAnsi="Arial" w:cs="Symbol"/>
      <w:sz w:val="24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ascii="Calibri" w:hAnsi="Calibri" w:cs="Arial"/>
      <w:b w:val="0"/>
      <w:sz w:val="24"/>
    </w:rPr>
  </w:style>
  <w:style w:type="character" w:customStyle="1" w:styleId="ListLabel169">
    <w:name w:val="ListLabel 169"/>
    <w:qFormat/>
    <w:rPr>
      <w:rFonts w:ascii="Calibri" w:hAnsi="Calibri" w:cs="Symbol"/>
      <w:sz w:val="24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020B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yle5">
    <w:name w:val="Style5"/>
    <w:basedOn w:val="Normalny"/>
    <w:qFormat/>
    <w:rsid w:val="00C020BB"/>
    <w:pPr>
      <w:jc w:val="center"/>
    </w:pPr>
    <w:rPr>
      <w:rFonts w:ascii="Arial" w:eastAsia="Times New Roman" w:hAnsi="Arial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C020BB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ny"/>
    <w:qFormat/>
    <w:rsid w:val="00C020BB"/>
    <w:rPr>
      <w:rFonts w:ascii="Arial" w:eastAsia="Times New Roman" w:hAnsi="Arial" w:cs="Arial"/>
      <w:sz w:val="24"/>
    </w:rPr>
  </w:style>
  <w:style w:type="paragraph" w:customStyle="1" w:styleId="Standard">
    <w:name w:val="Standard"/>
    <w:qFormat/>
    <w:rsid w:val="00D77B17"/>
    <w:pPr>
      <w:suppressAutoHyphens/>
      <w:overflowPunct w:val="0"/>
      <w:textAlignment w:val="baseline"/>
    </w:pPr>
    <w:rPr>
      <w:rFonts w:eastAsia="Arial Unicode MS" w:cs="Tahoma"/>
      <w:sz w:val="22"/>
    </w:rPr>
  </w:style>
  <w:style w:type="paragraph" w:customStyle="1" w:styleId="Style17">
    <w:name w:val="Style17"/>
    <w:basedOn w:val="Standard"/>
    <w:qFormat/>
    <w:rsid w:val="001817C2"/>
    <w:pPr>
      <w:suppressAutoHyphens w:val="0"/>
      <w:spacing w:line="270" w:lineRule="exact"/>
      <w:ind w:firstLine="684"/>
      <w:jc w:val="both"/>
      <w:textAlignment w:val="auto"/>
    </w:pPr>
    <w:rPr>
      <w:rFonts w:ascii="Arial" w:eastAsia="Times New Roman" w:hAnsi="Arial" w:cs="Arial"/>
    </w:rPr>
  </w:style>
  <w:style w:type="paragraph" w:customStyle="1" w:styleId="Style23">
    <w:name w:val="Style23"/>
    <w:basedOn w:val="Standard"/>
    <w:qFormat/>
    <w:rsid w:val="001817C2"/>
    <w:pPr>
      <w:suppressAutoHyphens w:val="0"/>
      <w:spacing w:line="266" w:lineRule="exact"/>
      <w:ind w:hanging="281"/>
      <w:jc w:val="both"/>
      <w:textAlignment w:val="auto"/>
    </w:pPr>
    <w:rPr>
      <w:rFonts w:ascii="Arial" w:eastAsia="Times New Roman" w:hAnsi="Arial" w:cs="Arial"/>
    </w:rPr>
  </w:style>
  <w:style w:type="paragraph" w:customStyle="1" w:styleId="Style16">
    <w:name w:val="Style16"/>
    <w:basedOn w:val="Standard"/>
    <w:qFormat/>
    <w:rsid w:val="001817C2"/>
    <w:pPr>
      <w:suppressAutoHyphens w:val="0"/>
      <w:spacing w:line="266" w:lineRule="exact"/>
      <w:ind w:hanging="446"/>
      <w:textAlignment w:val="auto"/>
    </w:pPr>
    <w:rPr>
      <w:rFonts w:ascii="Arial" w:eastAsia="Times New Roman" w:hAnsi="Arial" w:cs="Arial"/>
    </w:rPr>
  </w:style>
  <w:style w:type="paragraph" w:customStyle="1" w:styleId="Style9">
    <w:name w:val="Style9"/>
    <w:basedOn w:val="Standard"/>
    <w:qFormat/>
    <w:rsid w:val="001817C2"/>
    <w:pPr>
      <w:suppressAutoHyphens w:val="0"/>
      <w:jc w:val="right"/>
      <w:textAlignment w:val="auto"/>
    </w:pPr>
    <w:rPr>
      <w:rFonts w:ascii="Arial" w:eastAsia="Times New Roman" w:hAnsi="Arial" w:cs="Arial"/>
    </w:rPr>
  </w:style>
  <w:style w:type="paragraph" w:customStyle="1" w:styleId="Style39">
    <w:name w:val="Style39"/>
    <w:basedOn w:val="Standard"/>
    <w:qFormat/>
    <w:rsid w:val="001817C2"/>
    <w:pPr>
      <w:suppressAutoHyphens w:val="0"/>
      <w:spacing w:line="274" w:lineRule="exact"/>
      <w:ind w:firstLine="1051"/>
      <w:textAlignment w:val="auto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4371F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table" w:styleId="Tabela-Siatka">
    <w:name w:val="Table Grid"/>
    <w:basedOn w:val="Standardowy"/>
    <w:uiPriority w:val="59"/>
    <w:rsid w:val="009D6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overflowPunct w:val="0"/>
    </w:pPr>
    <w:rPr>
      <w:sz w:val="22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color w:val="FFFF00"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020BB"/>
  </w:style>
  <w:style w:type="character" w:customStyle="1" w:styleId="StopkaZnak">
    <w:name w:val="Stopka Znak"/>
    <w:basedOn w:val="Domylnaczcionkaakapitu"/>
    <w:link w:val="Stopka"/>
    <w:uiPriority w:val="99"/>
    <w:qFormat/>
    <w:rsid w:val="00C020BB"/>
  </w:style>
  <w:style w:type="character" w:customStyle="1" w:styleId="FontStyle56">
    <w:name w:val="Font Style56"/>
    <w:basedOn w:val="Domylnaczcionkaakapitu"/>
    <w:qFormat/>
    <w:rsid w:val="00C020BB"/>
    <w:rPr>
      <w:rFonts w:ascii="Arial" w:hAnsi="Arial" w:cs="Arial"/>
      <w:color w:val="000000"/>
      <w:sz w:val="18"/>
      <w:szCs w:val="18"/>
    </w:rPr>
  </w:style>
  <w:style w:type="character" w:customStyle="1" w:styleId="FontStyle48">
    <w:name w:val="Font Style48"/>
    <w:basedOn w:val="Domylnaczcionkaakapitu"/>
    <w:qFormat/>
    <w:rsid w:val="001817C2"/>
    <w:rPr>
      <w:rFonts w:ascii="Arial" w:hAnsi="Arial" w:cs="Arial"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4371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  <w:b w:val="0"/>
      <w:sz w:val="24"/>
    </w:rPr>
  </w:style>
  <w:style w:type="character" w:customStyle="1" w:styleId="ListLabel2">
    <w:name w:val="ListLabel 2"/>
    <w:qFormat/>
    <w:rPr>
      <w:rFonts w:ascii="Arial" w:hAnsi="Arial" w:cs="Arial"/>
      <w:b w:val="0"/>
      <w:sz w:val="24"/>
    </w:rPr>
  </w:style>
  <w:style w:type="character" w:customStyle="1" w:styleId="ListLabel3">
    <w:name w:val="ListLabel 3"/>
    <w:qFormat/>
    <w:rPr>
      <w:rFonts w:ascii="Arial" w:hAnsi="Arial" w:cs="Arial"/>
      <w:b w:val="0"/>
      <w:sz w:val="24"/>
    </w:rPr>
  </w:style>
  <w:style w:type="character" w:customStyle="1" w:styleId="ListLabel4">
    <w:name w:val="ListLabel 4"/>
    <w:qFormat/>
    <w:rPr>
      <w:rFonts w:ascii="Arial" w:hAnsi="Arial" w:cs="Arial"/>
      <w:b w:val="0"/>
      <w:sz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OpenSymbol"/>
      <w:sz w:val="24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ascii="Arial" w:hAnsi="Arial" w:cs="OpenSymbol"/>
      <w:sz w:val="24"/>
    </w:rPr>
  </w:style>
  <w:style w:type="character" w:customStyle="1" w:styleId="ListLabel13">
    <w:name w:val="ListLabel 13"/>
    <w:qFormat/>
    <w:rPr>
      <w:rFonts w:ascii="Arial" w:hAnsi="Arial" w:cs="OpenSymbol"/>
      <w:sz w:val="24"/>
    </w:rPr>
  </w:style>
  <w:style w:type="character" w:customStyle="1" w:styleId="ListLabel14">
    <w:name w:val="ListLabel 14"/>
    <w:qFormat/>
    <w:rPr>
      <w:rFonts w:ascii="Arial" w:hAnsi="Arial" w:cs="OpenSymbol"/>
      <w:sz w:val="24"/>
    </w:rPr>
  </w:style>
  <w:style w:type="character" w:customStyle="1" w:styleId="ListLabel15">
    <w:name w:val="ListLabel 15"/>
    <w:qFormat/>
    <w:rPr>
      <w:rFonts w:ascii="Arial" w:hAnsi="Arial" w:cs="Arial"/>
      <w:b w:val="0"/>
      <w:sz w:val="24"/>
    </w:rPr>
  </w:style>
  <w:style w:type="character" w:customStyle="1" w:styleId="ListLabel16">
    <w:name w:val="ListLabel 16"/>
    <w:qFormat/>
    <w:rPr>
      <w:rFonts w:ascii="Arial" w:hAnsi="Arial" w:cs="Arial"/>
      <w:b w:val="0"/>
      <w:sz w:val="24"/>
    </w:rPr>
  </w:style>
  <w:style w:type="character" w:customStyle="1" w:styleId="ListLabel17">
    <w:name w:val="ListLabel 17"/>
    <w:qFormat/>
    <w:rPr>
      <w:rFonts w:ascii="Arial" w:hAnsi="Arial" w:cs="Arial"/>
      <w:b w:val="0"/>
      <w:sz w:val="24"/>
    </w:rPr>
  </w:style>
  <w:style w:type="character" w:customStyle="1" w:styleId="ListLabel18">
    <w:name w:val="ListLabel 18"/>
    <w:qFormat/>
    <w:rPr>
      <w:rFonts w:ascii="Arial" w:hAnsi="Arial" w:cs="Arial"/>
      <w:b w:val="0"/>
      <w:sz w:val="24"/>
    </w:rPr>
  </w:style>
  <w:style w:type="character" w:customStyle="1" w:styleId="ListLabel19">
    <w:name w:val="ListLabel 19"/>
    <w:qFormat/>
    <w:rPr>
      <w:rFonts w:ascii="Arial" w:hAnsi="Arial" w:cs="Symbol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ascii="Arial" w:hAnsi="Arial" w:cs="OpenSymbol"/>
      <w:sz w:val="24"/>
    </w:rPr>
  </w:style>
  <w:style w:type="character" w:customStyle="1" w:styleId="ListLabel33">
    <w:name w:val="ListLabel 33"/>
    <w:qFormat/>
    <w:rPr>
      <w:rFonts w:ascii="Arial" w:hAnsi="Arial" w:cs="OpenSymbol"/>
      <w:sz w:val="24"/>
    </w:rPr>
  </w:style>
  <w:style w:type="character" w:customStyle="1" w:styleId="ListLabel34">
    <w:name w:val="ListLabel 34"/>
    <w:qFormat/>
    <w:rPr>
      <w:rFonts w:ascii="Arial" w:hAnsi="Arial" w:cs="OpenSymbol"/>
      <w:sz w:val="24"/>
    </w:rPr>
  </w:style>
  <w:style w:type="character" w:customStyle="1" w:styleId="ListLabel35">
    <w:name w:val="ListLabel 35"/>
    <w:qFormat/>
    <w:rPr>
      <w:rFonts w:ascii="Arial" w:hAnsi="Arial" w:cs="Arial"/>
      <w:b w:val="0"/>
      <w:sz w:val="24"/>
    </w:rPr>
  </w:style>
  <w:style w:type="character" w:customStyle="1" w:styleId="ListLabel36">
    <w:name w:val="ListLabel 36"/>
    <w:qFormat/>
    <w:rPr>
      <w:rFonts w:ascii="Arial" w:hAnsi="Arial" w:cs="Arial"/>
      <w:b w:val="0"/>
      <w:sz w:val="24"/>
    </w:rPr>
  </w:style>
  <w:style w:type="character" w:customStyle="1" w:styleId="ListLabel37">
    <w:name w:val="ListLabel 37"/>
    <w:qFormat/>
    <w:rPr>
      <w:rFonts w:ascii="Arial" w:hAnsi="Arial" w:cs="Arial"/>
      <w:b w:val="0"/>
      <w:sz w:val="24"/>
    </w:rPr>
  </w:style>
  <w:style w:type="character" w:customStyle="1" w:styleId="ListLabel38">
    <w:name w:val="ListLabel 38"/>
    <w:qFormat/>
    <w:rPr>
      <w:rFonts w:ascii="Arial" w:hAnsi="Arial" w:cs="Arial"/>
      <w:b w:val="0"/>
      <w:sz w:val="24"/>
    </w:rPr>
  </w:style>
  <w:style w:type="character" w:customStyle="1" w:styleId="ListLabel39">
    <w:name w:val="ListLabel 39"/>
    <w:qFormat/>
    <w:rPr>
      <w:rFonts w:ascii="Arial" w:hAnsi="Arial" w:cs="Symbol"/>
      <w:sz w:val="24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OpenSymbol"/>
      <w:sz w:val="24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ascii="Arial" w:hAnsi="Arial" w:cs="OpenSymbol"/>
      <w:sz w:val="24"/>
    </w:rPr>
  </w:style>
  <w:style w:type="character" w:customStyle="1" w:styleId="ListLabel53">
    <w:name w:val="ListLabel 53"/>
    <w:qFormat/>
    <w:rPr>
      <w:rFonts w:ascii="Arial" w:hAnsi="Arial" w:cs="OpenSymbol"/>
      <w:sz w:val="24"/>
    </w:rPr>
  </w:style>
  <w:style w:type="character" w:customStyle="1" w:styleId="ListLabel54">
    <w:name w:val="ListLabel 54"/>
    <w:qFormat/>
    <w:rPr>
      <w:rFonts w:ascii="Arial" w:hAnsi="Arial" w:cs="OpenSymbol"/>
      <w:sz w:val="24"/>
    </w:rPr>
  </w:style>
  <w:style w:type="character" w:customStyle="1" w:styleId="ListLabel55">
    <w:name w:val="ListLabel 55"/>
    <w:qFormat/>
    <w:rPr>
      <w:rFonts w:ascii="Arial" w:hAnsi="Arial" w:cs="Arial"/>
      <w:b w:val="0"/>
      <w:sz w:val="24"/>
    </w:rPr>
  </w:style>
  <w:style w:type="character" w:customStyle="1" w:styleId="ListLabel56">
    <w:name w:val="ListLabel 56"/>
    <w:qFormat/>
    <w:rPr>
      <w:rFonts w:ascii="Arial" w:hAnsi="Arial" w:cs="Arial"/>
      <w:b w:val="0"/>
      <w:sz w:val="24"/>
    </w:rPr>
  </w:style>
  <w:style w:type="character" w:customStyle="1" w:styleId="ListLabel57">
    <w:name w:val="ListLabel 57"/>
    <w:qFormat/>
    <w:rPr>
      <w:rFonts w:ascii="Arial" w:hAnsi="Arial" w:cs="Arial"/>
      <w:b w:val="0"/>
      <w:sz w:val="24"/>
    </w:rPr>
  </w:style>
  <w:style w:type="character" w:customStyle="1" w:styleId="ListLabel58">
    <w:name w:val="ListLabel 58"/>
    <w:qFormat/>
    <w:rPr>
      <w:rFonts w:ascii="Arial" w:hAnsi="Arial" w:cs="Arial"/>
      <w:b w:val="0"/>
      <w:sz w:val="24"/>
    </w:rPr>
  </w:style>
  <w:style w:type="character" w:customStyle="1" w:styleId="ListLabel59">
    <w:name w:val="ListLabel 59"/>
    <w:qFormat/>
    <w:rPr>
      <w:rFonts w:ascii="Arial" w:hAnsi="Arial"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OpenSymbol"/>
      <w:sz w:val="24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ascii="Arial" w:hAnsi="Arial" w:cs="OpenSymbol"/>
      <w:sz w:val="24"/>
    </w:rPr>
  </w:style>
  <w:style w:type="character" w:customStyle="1" w:styleId="ListLabel73">
    <w:name w:val="ListLabel 73"/>
    <w:qFormat/>
    <w:rPr>
      <w:rFonts w:ascii="Arial" w:hAnsi="Arial" w:cs="OpenSymbol"/>
      <w:sz w:val="24"/>
    </w:rPr>
  </w:style>
  <w:style w:type="character" w:customStyle="1" w:styleId="ListLabel74">
    <w:name w:val="ListLabel 74"/>
    <w:qFormat/>
    <w:rPr>
      <w:rFonts w:ascii="Arial" w:hAnsi="Arial" w:cs="OpenSymbol"/>
      <w:sz w:val="24"/>
    </w:rPr>
  </w:style>
  <w:style w:type="character" w:customStyle="1" w:styleId="ListLabel75">
    <w:name w:val="ListLabel 75"/>
    <w:qFormat/>
    <w:rPr>
      <w:rFonts w:ascii="Arial" w:hAnsi="Arial" w:cs="Arial"/>
      <w:b w:val="0"/>
      <w:sz w:val="24"/>
    </w:rPr>
  </w:style>
  <w:style w:type="character" w:customStyle="1" w:styleId="ListLabel76">
    <w:name w:val="ListLabel 76"/>
    <w:qFormat/>
    <w:rPr>
      <w:rFonts w:ascii="Arial" w:hAnsi="Arial" w:cs="Arial"/>
      <w:b w:val="0"/>
      <w:sz w:val="24"/>
    </w:rPr>
  </w:style>
  <w:style w:type="character" w:customStyle="1" w:styleId="ListLabel77">
    <w:name w:val="ListLabel 77"/>
    <w:qFormat/>
    <w:rPr>
      <w:rFonts w:ascii="Arial" w:hAnsi="Arial" w:cs="Arial"/>
      <w:b w:val="0"/>
      <w:sz w:val="24"/>
    </w:rPr>
  </w:style>
  <w:style w:type="character" w:customStyle="1" w:styleId="ListLabel78">
    <w:name w:val="ListLabel 78"/>
    <w:qFormat/>
    <w:rPr>
      <w:rFonts w:ascii="Arial" w:hAnsi="Arial" w:cs="Arial"/>
      <w:b w:val="0"/>
      <w:sz w:val="24"/>
    </w:rPr>
  </w:style>
  <w:style w:type="character" w:customStyle="1" w:styleId="ListLabel79">
    <w:name w:val="ListLabel 79"/>
    <w:qFormat/>
    <w:rPr>
      <w:rFonts w:ascii="Arial" w:hAnsi="Arial" w:cs="Symbol"/>
      <w:sz w:val="24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sz w:val="24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ascii="Arial" w:hAnsi="Arial" w:cs="OpenSymbol"/>
      <w:sz w:val="24"/>
    </w:rPr>
  </w:style>
  <w:style w:type="character" w:customStyle="1" w:styleId="ListLabel93">
    <w:name w:val="ListLabel 93"/>
    <w:qFormat/>
    <w:rPr>
      <w:rFonts w:ascii="Arial" w:hAnsi="Arial" w:cs="OpenSymbol"/>
      <w:sz w:val="24"/>
    </w:rPr>
  </w:style>
  <w:style w:type="character" w:customStyle="1" w:styleId="ListLabel94">
    <w:name w:val="ListLabel 94"/>
    <w:qFormat/>
    <w:rPr>
      <w:rFonts w:ascii="Arial" w:hAnsi="Arial" w:cs="OpenSymbol"/>
      <w:sz w:val="24"/>
    </w:rPr>
  </w:style>
  <w:style w:type="character" w:customStyle="1" w:styleId="ListLabel95">
    <w:name w:val="ListLabel 95"/>
    <w:qFormat/>
    <w:rPr>
      <w:rFonts w:ascii="Arial" w:hAnsi="Arial" w:cs="Arial"/>
      <w:b w:val="0"/>
      <w:sz w:val="24"/>
    </w:rPr>
  </w:style>
  <w:style w:type="character" w:customStyle="1" w:styleId="ListLabel96">
    <w:name w:val="ListLabel 96"/>
    <w:qFormat/>
    <w:rPr>
      <w:rFonts w:ascii="Arial" w:hAnsi="Arial" w:cs="Arial"/>
      <w:b w:val="0"/>
      <w:sz w:val="24"/>
    </w:rPr>
  </w:style>
  <w:style w:type="character" w:customStyle="1" w:styleId="ListLabel97">
    <w:name w:val="ListLabel 97"/>
    <w:qFormat/>
    <w:rPr>
      <w:rFonts w:ascii="Arial" w:hAnsi="Arial" w:cs="Arial"/>
      <w:b w:val="0"/>
      <w:sz w:val="24"/>
    </w:rPr>
  </w:style>
  <w:style w:type="character" w:customStyle="1" w:styleId="ListLabel98">
    <w:name w:val="ListLabel 98"/>
    <w:qFormat/>
    <w:rPr>
      <w:rFonts w:ascii="Arial" w:hAnsi="Arial" w:cs="Arial"/>
      <w:b w:val="0"/>
      <w:sz w:val="24"/>
    </w:rPr>
  </w:style>
  <w:style w:type="character" w:customStyle="1" w:styleId="ListLabel99">
    <w:name w:val="ListLabel 99"/>
    <w:qFormat/>
    <w:rPr>
      <w:rFonts w:ascii="Arial" w:hAnsi="Arial" w:cs="Symbol"/>
      <w:sz w:val="24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OpenSymbol"/>
      <w:sz w:val="24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ascii="Arial" w:hAnsi="Arial" w:cs="OpenSymbol"/>
      <w:sz w:val="24"/>
    </w:rPr>
  </w:style>
  <w:style w:type="character" w:customStyle="1" w:styleId="ListLabel113">
    <w:name w:val="ListLabel 113"/>
    <w:qFormat/>
    <w:rPr>
      <w:rFonts w:ascii="Arial" w:hAnsi="Arial" w:cs="OpenSymbol"/>
      <w:sz w:val="24"/>
    </w:rPr>
  </w:style>
  <w:style w:type="character" w:customStyle="1" w:styleId="ListLabel114">
    <w:name w:val="ListLabel 114"/>
    <w:qFormat/>
    <w:rPr>
      <w:rFonts w:ascii="Arial" w:hAnsi="Arial" w:cs="OpenSymbol"/>
      <w:sz w:val="24"/>
    </w:rPr>
  </w:style>
  <w:style w:type="character" w:customStyle="1" w:styleId="ListLabel115">
    <w:name w:val="ListLabel 115"/>
    <w:qFormat/>
    <w:rPr>
      <w:rFonts w:ascii="Arial" w:hAnsi="Arial" w:cs="Arial"/>
      <w:b w:val="0"/>
      <w:sz w:val="24"/>
    </w:rPr>
  </w:style>
  <w:style w:type="character" w:customStyle="1" w:styleId="ListLabel116">
    <w:name w:val="ListLabel 116"/>
    <w:qFormat/>
    <w:rPr>
      <w:rFonts w:ascii="Arial" w:hAnsi="Arial" w:cs="Arial"/>
      <w:b w:val="0"/>
      <w:sz w:val="24"/>
    </w:rPr>
  </w:style>
  <w:style w:type="character" w:customStyle="1" w:styleId="ListLabel117">
    <w:name w:val="ListLabel 117"/>
    <w:qFormat/>
    <w:rPr>
      <w:rFonts w:ascii="Arial" w:hAnsi="Arial" w:cs="Arial"/>
      <w:b w:val="0"/>
      <w:sz w:val="24"/>
    </w:rPr>
  </w:style>
  <w:style w:type="character" w:customStyle="1" w:styleId="ListLabel118">
    <w:name w:val="ListLabel 118"/>
    <w:qFormat/>
    <w:rPr>
      <w:rFonts w:ascii="Arial" w:hAnsi="Arial" w:cs="Arial"/>
      <w:b w:val="0"/>
      <w:sz w:val="24"/>
    </w:rPr>
  </w:style>
  <w:style w:type="character" w:customStyle="1" w:styleId="ListLabel119">
    <w:name w:val="ListLabel 119"/>
    <w:qFormat/>
    <w:rPr>
      <w:rFonts w:ascii="Arial" w:hAnsi="Arial" w:cs="Symbol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OpenSymbol"/>
      <w:sz w:val="24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ascii="Arial" w:hAnsi="Arial" w:cs="OpenSymbol"/>
      <w:sz w:val="24"/>
    </w:rPr>
  </w:style>
  <w:style w:type="character" w:customStyle="1" w:styleId="ListLabel133">
    <w:name w:val="ListLabel 133"/>
    <w:qFormat/>
    <w:rPr>
      <w:rFonts w:ascii="Arial" w:hAnsi="Arial" w:cs="OpenSymbol"/>
      <w:sz w:val="24"/>
    </w:rPr>
  </w:style>
  <w:style w:type="character" w:customStyle="1" w:styleId="ListLabel134">
    <w:name w:val="ListLabel 134"/>
    <w:qFormat/>
    <w:rPr>
      <w:rFonts w:ascii="Arial" w:hAnsi="Arial" w:cs="OpenSymbol"/>
      <w:sz w:val="24"/>
    </w:rPr>
  </w:style>
  <w:style w:type="character" w:customStyle="1" w:styleId="ListLabel135">
    <w:name w:val="ListLabel 135"/>
    <w:qFormat/>
    <w:rPr>
      <w:rFonts w:ascii="Arial" w:hAnsi="Arial" w:cs="Arial"/>
      <w:b w:val="0"/>
      <w:sz w:val="24"/>
    </w:rPr>
  </w:style>
  <w:style w:type="character" w:customStyle="1" w:styleId="ListLabel136">
    <w:name w:val="ListLabel 136"/>
    <w:qFormat/>
    <w:rPr>
      <w:rFonts w:ascii="Arial" w:hAnsi="Arial" w:cs="Arial"/>
      <w:b w:val="0"/>
      <w:sz w:val="24"/>
    </w:rPr>
  </w:style>
  <w:style w:type="character" w:customStyle="1" w:styleId="ListLabel137">
    <w:name w:val="ListLabel 137"/>
    <w:qFormat/>
    <w:rPr>
      <w:rFonts w:ascii="Arial" w:hAnsi="Arial" w:cs="Arial"/>
      <w:b w:val="0"/>
      <w:sz w:val="24"/>
    </w:rPr>
  </w:style>
  <w:style w:type="character" w:customStyle="1" w:styleId="ListLabel138">
    <w:name w:val="ListLabel 138"/>
    <w:qFormat/>
    <w:rPr>
      <w:rFonts w:ascii="Arial" w:hAnsi="Arial" w:cs="Arial"/>
      <w:b w:val="0"/>
      <w:sz w:val="24"/>
    </w:rPr>
  </w:style>
  <w:style w:type="character" w:customStyle="1" w:styleId="ListLabel139">
    <w:name w:val="ListLabel 139"/>
    <w:qFormat/>
    <w:rPr>
      <w:rFonts w:ascii="Arial" w:hAnsi="Arial" w:cs="Symbol"/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OpenSymbol"/>
      <w:sz w:val="24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ascii="Arial" w:hAnsi="Arial" w:cs="OpenSymbol"/>
      <w:sz w:val="24"/>
    </w:rPr>
  </w:style>
  <w:style w:type="character" w:customStyle="1" w:styleId="ListLabel153">
    <w:name w:val="ListLabel 153"/>
    <w:qFormat/>
    <w:rPr>
      <w:rFonts w:ascii="Arial" w:hAnsi="Arial" w:cs="OpenSymbol"/>
      <w:sz w:val="24"/>
    </w:rPr>
  </w:style>
  <w:style w:type="character" w:customStyle="1" w:styleId="ListLabel154">
    <w:name w:val="ListLabel 154"/>
    <w:qFormat/>
    <w:rPr>
      <w:rFonts w:ascii="Arial" w:hAnsi="Arial" w:cs="OpenSymbol"/>
      <w:sz w:val="24"/>
    </w:rPr>
  </w:style>
  <w:style w:type="character" w:customStyle="1" w:styleId="ListLabel155">
    <w:name w:val="ListLabel 155"/>
    <w:qFormat/>
    <w:rPr>
      <w:rFonts w:ascii="Arial" w:hAnsi="Arial" w:cs="Arial"/>
      <w:b w:val="0"/>
      <w:sz w:val="24"/>
    </w:rPr>
  </w:style>
  <w:style w:type="character" w:customStyle="1" w:styleId="ListLabel156">
    <w:name w:val="ListLabel 156"/>
    <w:qFormat/>
    <w:rPr>
      <w:rFonts w:ascii="Arial" w:hAnsi="Arial" w:cs="Arial"/>
      <w:b w:val="0"/>
      <w:sz w:val="24"/>
    </w:rPr>
  </w:style>
  <w:style w:type="character" w:customStyle="1" w:styleId="ListLabel157">
    <w:name w:val="ListLabel 157"/>
    <w:qFormat/>
    <w:rPr>
      <w:rFonts w:ascii="Arial" w:hAnsi="Arial" w:cs="Arial"/>
      <w:b w:val="0"/>
      <w:sz w:val="24"/>
    </w:rPr>
  </w:style>
  <w:style w:type="character" w:customStyle="1" w:styleId="ListLabel158">
    <w:name w:val="ListLabel 158"/>
    <w:qFormat/>
    <w:rPr>
      <w:rFonts w:ascii="Arial" w:hAnsi="Arial" w:cs="Arial"/>
      <w:b w:val="0"/>
      <w:sz w:val="24"/>
    </w:rPr>
  </w:style>
  <w:style w:type="character" w:customStyle="1" w:styleId="ListLabel159">
    <w:name w:val="ListLabel 159"/>
    <w:qFormat/>
    <w:rPr>
      <w:rFonts w:ascii="Arial" w:hAnsi="Arial" w:cs="Symbol"/>
      <w:sz w:val="24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ascii="Calibri" w:hAnsi="Calibri" w:cs="Arial"/>
      <w:b w:val="0"/>
      <w:sz w:val="24"/>
    </w:rPr>
  </w:style>
  <w:style w:type="character" w:customStyle="1" w:styleId="ListLabel169">
    <w:name w:val="ListLabel 169"/>
    <w:qFormat/>
    <w:rPr>
      <w:rFonts w:ascii="Calibri" w:hAnsi="Calibri" w:cs="Symbol"/>
      <w:sz w:val="24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020B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yle5">
    <w:name w:val="Style5"/>
    <w:basedOn w:val="Normalny"/>
    <w:qFormat/>
    <w:rsid w:val="00C020BB"/>
    <w:pPr>
      <w:jc w:val="center"/>
    </w:pPr>
    <w:rPr>
      <w:rFonts w:ascii="Arial" w:eastAsia="Times New Roman" w:hAnsi="Arial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C020BB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ny"/>
    <w:qFormat/>
    <w:rsid w:val="00C020BB"/>
    <w:rPr>
      <w:rFonts w:ascii="Arial" w:eastAsia="Times New Roman" w:hAnsi="Arial" w:cs="Arial"/>
      <w:sz w:val="24"/>
    </w:rPr>
  </w:style>
  <w:style w:type="paragraph" w:customStyle="1" w:styleId="Standard">
    <w:name w:val="Standard"/>
    <w:qFormat/>
    <w:rsid w:val="00D77B17"/>
    <w:pPr>
      <w:suppressAutoHyphens/>
      <w:overflowPunct w:val="0"/>
      <w:textAlignment w:val="baseline"/>
    </w:pPr>
    <w:rPr>
      <w:rFonts w:eastAsia="Arial Unicode MS" w:cs="Tahoma"/>
      <w:sz w:val="22"/>
    </w:rPr>
  </w:style>
  <w:style w:type="paragraph" w:customStyle="1" w:styleId="Style17">
    <w:name w:val="Style17"/>
    <w:basedOn w:val="Standard"/>
    <w:qFormat/>
    <w:rsid w:val="001817C2"/>
    <w:pPr>
      <w:suppressAutoHyphens w:val="0"/>
      <w:spacing w:line="270" w:lineRule="exact"/>
      <w:ind w:firstLine="684"/>
      <w:jc w:val="both"/>
      <w:textAlignment w:val="auto"/>
    </w:pPr>
    <w:rPr>
      <w:rFonts w:ascii="Arial" w:eastAsia="Times New Roman" w:hAnsi="Arial" w:cs="Arial"/>
    </w:rPr>
  </w:style>
  <w:style w:type="paragraph" w:customStyle="1" w:styleId="Style23">
    <w:name w:val="Style23"/>
    <w:basedOn w:val="Standard"/>
    <w:qFormat/>
    <w:rsid w:val="001817C2"/>
    <w:pPr>
      <w:suppressAutoHyphens w:val="0"/>
      <w:spacing w:line="266" w:lineRule="exact"/>
      <w:ind w:hanging="281"/>
      <w:jc w:val="both"/>
      <w:textAlignment w:val="auto"/>
    </w:pPr>
    <w:rPr>
      <w:rFonts w:ascii="Arial" w:eastAsia="Times New Roman" w:hAnsi="Arial" w:cs="Arial"/>
    </w:rPr>
  </w:style>
  <w:style w:type="paragraph" w:customStyle="1" w:styleId="Style16">
    <w:name w:val="Style16"/>
    <w:basedOn w:val="Standard"/>
    <w:qFormat/>
    <w:rsid w:val="001817C2"/>
    <w:pPr>
      <w:suppressAutoHyphens w:val="0"/>
      <w:spacing w:line="266" w:lineRule="exact"/>
      <w:ind w:hanging="446"/>
      <w:textAlignment w:val="auto"/>
    </w:pPr>
    <w:rPr>
      <w:rFonts w:ascii="Arial" w:eastAsia="Times New Roman" w:hAnsi="Arial" w:cs="Arial"/>
    </w:rPr>
  </w:style>
  <w:style w:type="paragraph" w:customStyle="1" w:styleId="Style9">
    <w:name w:val="Style9"/>
    <w:basedOn w:val="Standard"/>
    <w:qFormat/>
    <w:rsid w:val="001817C2"/>
    <w:pPr>
      <w:suppressAutoHyphens w:val="0"/>
      <w:jc w:val="right"/>
      <w:textAlignment w:val="auto"/>
    </w:pPr>
    <w:rPr>
      <w:rFonts w:ascii="Arial" w:eastAsia="Times New Roman" w:hAnsi="Arial" w:cs="Arial"/>
    </w:rPr>
  </w:style>
  <w:style w:type="paragraph" w:customStyle="1" w:styleId="Style39">
    <w:name w:val="Style39"/>
    <w:basedOn w:val="Standard"/>
    <w:qFormat/>
    <w:rsid w:val="001817C2"/>
    <w:pPr>
      <w:suppressAutoHyphens w:val="0"/>
      <w:spacing w:line="274" w:lineRule="exact"/>
      <w:ind w:firstLine="1051"/>
      <w:textAlignment w:val="auto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4371F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table" w:styleId="Tabela-Siatka">
    <w:name w:val="Table Grid"/>
    <w:basedOn w:val="Standardowy"/>
    <w:uiPriority w:val="59"/>
    <w:rsid w:val="009D6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F2C84-596E-4A5C-9171-3021F44B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13</Pages>
  <Words>4150</Words>
  <Characters>24900</Characters>
  <Application>Microsoft Office Word</Application>
  <DocSecurity>0</DocSecurity>
  <Lines>207</Lines>
  <Paragraphs>57</Paragraphs>
  <ScaleCrop>false</ScaleCrop>
  <Company/>
  <LinksUpToDate>false</LinksUpToDate>
  <CharactersWithSpaces>28993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adam.krolak</dc:creator>
  <dc:description/>
  <cp:lastModifiedBy>adam.krolak</cp:lastModifiedBy>
  <cp:revision>67</cp:revision>
  <cp:lastPrinted>2019-11-28T18:13:00Z</cp:lastPrinted>
  <dcterms:created xsi:type="dcterms:W3CDTF">2017-11-10T08:17:00Z</dcterms:created>
  <dcterms:modified xsi:type="dcterms:W3CDTF">2019-11-29T10:34:00Z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